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602B38" w14:textId="77777777" w:rsidR="00633C2A" w:rsidRPr="00A534EB" w:rsidRDefault="00633C2A" w:rsidP="00434620">
      <w:pPr>
        <w:spacing w:after="0" w:line="240" w:lineRule="auto"/>
        <w:rPr>
          <w:rFonts w:ascii="Times New Roman" w:hAnsi="Times New Roman" w:cs="Times New Roman"/>
          <w:b/>
          <w:sz w:val="40"/>
          <w:szCs w:val="40"/>
        </w:rPr>
      </w:pPr>
      <w:bookmarkStart w:id="0" w:name="_Hlk534221089"/>
      <w:bookmarkStart w:id="1" w:name="_Hlk534223499"/>
      <w:bookmarkStart w:id="2" w:name="_GoBack"/>
      <w:bookmarkEnd w:id="2"/>
      <w:r w:rsidRPr="00FE5461">
        <w:rPr>
          <w:rFonts w:ascii="Times New Roman" w:hAnsi="Times New Roman" w:cs="Times New Roman"/>
          <w:b/>
          <w:sz w:val="34"/>
          <w:szCs w:val="34"/>
        </w:rPr>
        <w:t xml:space="preserve">The Tax Court’s Erroneous Application of </w:t>
      </w:r>
      <w:r w:rsidRPr="00FE5461">
        <w:rPr>
          <w:rFonts w:ascii="Times New Roman" w:hAnsi="Times New Roman" w:cs="Times New Roman"/>
          <w:b/>
          <w:i/>
          <w:sz w:val="34"/>
          <w:szCs w:val="34"/>
        </w:rPr>
        <w:t>Avrahami</w:t>
      </w:r>
      <w:r w:rsidRPr="00FE5461">
        <w:rPr>
          <w:rFonts w:ascii="Times New Roman" w:hAnsi="Times New Roman" w:cs="Times New Roman"/>
          <w:b/>
          <w:sz w:val="34"/>
          <w:szCs w:val="34"/>
        </w:rPr>
        <w:t xml:space="preserve"> to </w:t>
      </w:r>
      <w:r w:rsidRPr="00FE5461">
        <w:rPr>
          <w:rFonts w:ascii="Times New Roman" w:hAnsi="Times New Roman" w:cs="Times New Roman"/>
          <w:b/>
          <w:i/>
          <w:sz w:val="34"/>
          <w:szCs w:val="34"/>
        </w:rPr>
        <w:t>Reserve</w:t>
      </w:r>
      <w:r w:rsidRPr="00A534EB">
        <w:rPr>
          <w:rFonts w:ascii="Times New Roman" w:hAnsi="Times New Roman" w:cs="Times New Roman"/>
          <w:b/>
          <w:sz w:val="40"/>
          <w:szCs w:val="40"/>
        </w:rPr>
        <w:t xml:space="preserve"> </w:t>
      </w:r>
    </w:p>
    <w:p w14:paraId="0B66E32E" w14:textId="77777777" w:rsidR="00633C2A" w:rsidRDefault="00633C2A" w:rsidP="00434620">
      <w:pPr>
        <w:spacing w:after="0" w:line="240" w:lineRule="auto"/>
        <w:rPr>
          <w:rFonts w:ascii="Times New Roman" w:hAnsi="Times New Roman" w:cs="Times New Roman"/>
          <w:b/>
          <w:sz w:val="24"/>
          <w:szCs w:val="24"/>
        </w:rPr>
      </w:pPr>
    </w:p>
    <w:p w14:paraId="05261B67" w14:textId="77777777" w:rsidR="00633C2A" w:rsidRDefault="00633C2A" w:rsidP="00434620">
      <w:pPr>
        <w:spacing w:after="0" w:line="240" w:lineRule="auto"/>
        <w:rPr>
          <w:rFonts w:ascii="Times New Roman" w:hAnsi="Times New Roman" w:cs="Times New Roman"/>
          <w:b/>
          <w:sz w:val="24"/>
          <w:szCs w:val="24"/>
        </w:rPr>
      </w:pPr>
      <w:r w:rsidRPr="0057223A">
        <w:rPr>
          <w:rFonts w:ascii="Times New Roman" w:hAnsi="Times New Roman" w:cs="Times New Roman"/>
          <w:b/>
          <w:sz w:val="24"/>
          <w:szCs w:val="24"/>
        </w:rPr>
        <w:t xml:space="preserve">Does Captive Insurance Exist After the </w:t>
      </w:r>
      <w:r w:rsidRPr="0057223A">
        <w:rPr>
          <w:rFonts w:ascii="Times New Roman" w:hAnsi="Times New Roman" w:cs="Times New Roman"/>
          <w:b/>
          <w:i/>
          <w:sz w:val="24"/>
          <w:szCs w:val="24"/>
        </w:rPr>
        <w:t>Reserve</w:t>
      </w:r>
      <w:r w:rsidRPr="0057223A">
        <w:rPr>
          <w:rFonts w:ascii="Times New Roman" w:hAnsi="Times New Roman" w:cs="Times New Roman"/>
          <w:b/>
          <w:sz w:val="24"/>
          <w:szCs w:val="24"/>
        </w:rPr>
        <w:t xml:space="preserve"> Decision?</w:t>
      </w:r>
    </w:p>
    <w:p w14:paraId="21F60108" w14:textId="77777777" w:rsidR="00633C2A" w:rsidRPr="00BF2AE7" w:rsidRDefault="00633C2A" w:rsidP="00434620">
      <w:pPr>
        <w:spacing w:after="0" w:line="240" w:lineRule="auto"/>
        <w:rPr>
          <w:rFonts w:ascii="Times New Roman" w:hAnsi="Times New Roman" w:cs="Times New Roman"/>
          <w:b/>
          <w:sz w:val="24"/>
          <w:szCs w:val="24"/>
        </w:rPr>
      </w:pPr>
      <w:r w:rsidRPr="00A534EB">
        <w:rPr>
          <w:rFonts w:ascii="Times New Roman" w:hAnsi="Times New Roman" w:cs="Times New Roman"/>
          <w:b/>
          <w:sz w:val="24"/>
          <w:szCs w:val="24"/>
        </w:rPr>
        <w:t>Commentary #</w:t>
      </w:r>
      <w:r>
        <w:rPr>
          <w:rFonts w:ascii="Times New Roman" w:hAnsi="Times New Roman" w:cs="Times New Roman"/>
          <w:b/>
          <w:sz w:val="24"/>
          <w:szCs w:val="24"/>
        </w:rPr>
        <w:t>4</w:t>
      </w:r>
      <w:r w:rsidRPr="00A534EB">
        <w:rPr>
          <w:rFonts w:ascii="Times New Roman" w:hAnsi="Times New Roman" w:cs="Times New Roman"/>
          <w:b/>
          <w:sz w:val="24"/>
          <w:szCs w:val="24"/>
        </w:rPr>
        <w:t xml:space="preserve"> by Capstone Associated Services, Ltd.</w:t>
      </w:r>
    </w:p>
    <w:bookmarkEnd w:id="0"/>
    <w:p w14:paraId="759255BD" w14:textId="77777777" w:rsidR="00633C2A" w:rsidRDefault="00633C2A" w:rsidP="00434620">
      <w:pPr>
        <w:spacing w:after="0" w:line="240" w:lineRule="auto"/>
        <w:jc w:val="center"/>
        <w:rPr>
          <w:rFonts w:ascii="Times New Roman" w:hAnsi="Times New Roman" w:cs="Times New Roman"/>
          <w:b/>
          <w:sz w:val="24"/>
          <w:szCs w:val="24"/>
        </w:rPr>
      </w:pPr>
    </w:p>
    <w:tbl>
      <w:tblPr>
        <w:tblStyle w:val="TableGrid"/>
        <w:tblW w:w="9535" w:type="dxa"/>
        <w:tblLook w:val="04A0" w:firstRow="1" w:lastRow="0" w:firstColumn="1" w:lastColumn="0" w:noHBand="0" w:noVBand="1"/>
      </w:tblPr>
      <w:tblGrid>
        <w:gridCol w:w="8725"/>
        <w:gridCol w:w="810"/>
      </w:tblGrid>
      <w:tr w:rsidR="00633C2A" w14:paraId="094E4701" w14:textId="77777777" w:rsidTr="00434620">
        <w:tc>
          <w:tcPr>
            <w:tcW w:w="8725" w:type="dxa"/>
            <w:shd w:val="clear" w:color="auto" w:fill="BFBFBF" w:themeFill="background1" w:themeFillShade="BF"/>
          </w:tcPr>
          <w:p w14:paraId="5AEC261B" w14:textId="5D0A495A" w:rsidR="00633C2A" w:rsidRPr="00A534EB" w:rsidRDefault="005342CB" w:rsidP="00434620">
            <w:pPr>
              <w:spacing w:after="200"/>
              <w:jc w:val="center"/>
              <w:rPr>
                <w:rFonts w:ascii="Times New Roman" w:hAnsi="Times New Roman" w:cs="Times New Roman"/>
                <w:sz w:val="24"/>
                <w:szCs w:val="24"/>
              </w:rPr>
            </w:pPr>
            <w:bookmarkStart w:id="3" w:name="_Hlk533005351"/>
            <w:r>
              <w:rPr>
                <w:rFonts w:ascii="Times New Roman" w:hAnsi="Times New Roman" w:cs="Times New Roman"/>
                <w:sz w:val="24"/>
                <w:szCs w:val="24"/>
              </w:rPr>
              <w:t>Table of Contents</w:t>
            </w:r>
          </w:p>
        </w:tc>
        <w:tc>
          <w:tcPr>
            <w:tcW w:w="810" w:type="dxa"/>
            <w:shd w:val="clear" w:color="auto" w:fill="BFBFBF" w:themeFill="background1" w:themeFillShade="BF"/>
          </w:tcPr>
          <w:p w14:paraId="307EBE10" w14:textId="77777777" w:rsidR="00633C2A" w:rsidRPr="00A534EB" w:rsidRDefault="00633C2A" w:rsidP="00434620">
            <w:pPr>
              <w:jc w:val="center"/>
              <w:rPr>
                <w:rFonts w:ascii="Times New Roman" w:hAnsi="Times New Roman" w:cs="Times New Roman"/>
                <w:sz w:val="24"/>
                <w:szCs w:val="24"/>
              </w:rPr>
            </w:pPr>
            <w:r w:rsidRPr="00A534EB">
              <w:rPr>
                <w:rFonts w:ascii="Times New Roman" w:hAnsi="Times New Roman" w:cs="Times New Roman"/>
                <w:sz w:val="24"/>
                <w:szCs w:val="24"/>
              </w:rPr>
              <w:t>Page</w:t>
            </w:r>
          </w:p>
        </w:tc>
      </w:tr>
      <w:tr w:rsidR="00633C2A" w:rsidRPr="00757172" w14:paraId="2321B384" w14:textId="77777777" w:rsidTr="00434620">
        <w:tc>
          <w:tcPr>
            <w:tcW w:w="8725" w:type="dxa"/>
          </w:tcPr>
          <w:p w14:paraId="1B06A704" w14:textId="77777777" w:rsidR="00633C2A" w:rsidRPr="00757172" w:rsidRDefault="00633C2A" w:rsidP="00434620">
            <w:pPr>
              <w:spacing w:after="180"/>
              <w:rPr>
                <w:rFonts w:ascii="Times New Roman" w:hAnsi="Times New Roman" w:cs="Times New Roman"/>
              </w:rPr>
            </w:pPr>
            <w:r w:rsidRPr="00757172">
              <w:rPr>
                <w:rFonts w:ascii="Times New Roman" w:hAnsi="Times New Roman" w:cs="Times New Roman"/>
              </w:rPr>
              <w:t>I.  The Court Erred in Finding that Reserve did not have a Legitimate Nontax Purpose</w:t>
            </w:r>
          </w:p>
        </w:tc>
        <w:tc>
          <w:tcPr>
            <w:tcW w:w="810" w:type="dxa"/>
          </w:tcPr>
          <w:p w14:paraId="6941FA06" w14:textId="77777777" w:rsidR="00633C2A" w:rsidRPr="00757172" w:rsidRDefault="00633C2A" w:rsidP="00434620">
            <w:pPr>
              <w:spacing w:after="180"/>
              <w:jc w:val="center"/>
              <w:rPr>
                <w:rFonts w:ascii="Times New Roman" w:hAnsi="Times New Roman" w:cs="Times New Roman"/>
              </w:rPr>
            </w:pPr>
            <w:r w:rsidRPr="00757172">
              <w:rPr>
                <w:rFonts w:ascii="Times New Roman" w:hAnsi="Times New Roman" w:cs="Times New Roman"/>
              </w:rPr>
              <w:t>2</w:t>
            </w:r>
          </w:p>
        </w:tc>
      </w:tr>
      <w:tr w:rsidR="00633C2A" w:rsidRPr="00757172" w14:paraId="18480856" w14:textId="77777777" w:rsidTr="00434620">
        <w:tc>
          <w:tcPr>
            <w:tcW w:w="8725" w:type="dxa"/>
          </w:tcPr>
          <w:p w14:paraId="5EF081AE" w14:textId="77777777" w:rsidR="00633C2A" w:rsidRPr="00757172" w:rsidRDefault="00633C2A" w:rsidP="00434620">
            <w:pPr>
              <w:spacing w:after="180"/>
              <w:rPr>
                <w:rFonts w:ascii="Times New Roman" w:hAnsi="Times New Roman" w:cs="Times New Roman"/>
              </w:rPr>
            </w:pPr>
            <w:r w:rsidRPr="00757172">
              <w:rPr>
                <w:rFonts w:ascii="Times New Roman" w:hAnsi="Times New Roman" w:cs="Times New Roman"/>
              </w:rPr>
              <w:t xml:space="preserve">II.  The Court Erred in Using </w:t>
            </w:r>
            <w:r w:rsidRPr="00757172">
              <w:rPr>
                <w:rFonts w:ascii="Times New Roman" w:hAnsi="Times New Roman" w:cs="Times New Roman"/>
                <w:i/>
              </w:rPr>
              <w:t>Avrahami</w:t>
            </w:r>
            <w:r w:rsidRPr="00757172">
              <w:rPr>
                <w:rFonts w:ascii="Times New Roman" w:hAnsi="Times New Roman" w:cs="Times New Roman"/>
              </w:rPr>
              <w:t xml:space="preserve"> as the Template for </w:t>
            </w:r>
            <w:r w:rsidRPr="00757172">
              <w:rPr>
                <w:rFonts w:ascii="Times New Roman" w:hAnsi="Times New Roman" w:cs="Times New Roman"/>
                <w:i/>
              </w:rPr>
              <w:t>Reserve</w:t>
            </w:r>
          </w:p>
        </w:tc>
        <w:tc>
          <w:tcPr>
            <w:tcW w:w="810" w:type="dxa"/>
          </w:tcPr>
          <w:p w14:paraId="4BABC8ED" w14:textId="77777777" w:rsidR="00633C2A" w:rsidRPr="00757172" w:rsidRDefault="00633C2A" w:rsidP="00434620">
            <w:pPr>
              <w:spacing w:after="180"/>
              <w:jc w:val="center"/>
              <w:rPr>
                <w:rFonts w:ascii="Times New Roman" w:hAnsi="Times New Roman" w:cs="Times New Roman"/>
              </w:rPr>
            </w:pPr>
            <w:r w:rsidRPr="00757172">
              <w:rPr>
                <w:rFonts w:ascii="Times New Roman" w:hAnsi="Times New Roman" w:cs="Times New Roman"/>
              </w:rPr>
              <w:t>6</w:t>
            </w:r>
          </w:p>
        </w:tc>
      </w:tr>
      <w:tr w:rsidR="00633C2A" w:rsidRPr="00757172" w14:paraId="2292DFC7" w14:textId="77777777" w:rsidTr="00434620">
        <w:tc>
          <w:tcPr>
            <w:tcW w:w="8725" w:type="dxa"/>
          </w:tcPr>
          <w:p w14:paraId="1E7495B9" w14:textId="77777777" w:rsidR="00633C2A" w:rsidRPr="00757172" w:rsidRDefault="00633C2A" w:rsidP="00434620">
            <w:pPr>
              <w:spacing w:after="180"/>
              <w:ind w:firstLine="780"/>
              <w:rPr>
                <w:rFonts w:ascii="Times New Roman" w:hAnsi="Times New Roman" w:cs="Times New Roman"/>
              </w:rPr>
            </w:pPr>
            <w:r w:rsidRPr="00757172">
              <w:rPr>
                <w:rFonts w:ascii="Times New Roman" w:hAnsi="Times New Roman" w:cs="Times New Roman"/>
              </w:rPr>
              <w:t>A.  Risk Distribution</w:t>
            </w:r>
          </w:p>
        </w:tc>
        <w:tc>
          <w:tcPr>
            <w:tcW w:w="810" w:type="dxa"/>
          </w:tcPr>
          <w:p w14:paraId="79A0A2CF" w14:textId="77777777" w:rsidR="00633C2A" w:rsidRPr="00757172" w:rsidRDefault="00633C2A" w:rsidP="00434620">
            <w:pPr>
              <w:spacing w:after="180"/>
              <w:jc w:val="center"/>
              <w:rPr>
                <w:rFonts w:ascii="Times New Roman" w:hAnsi="Times New Roman" w:cs="Times New Roman"/>
              </w:rPr>
            </w:pPr>
            <w:r w:rsidRPr="00757172">
              <w:rPr>
                <w:rFonts w:ascii="Times New Roman" w:hAnsi="Times New Roman" w:cs="Times New Roman"/>
              </w:rPr>
              <w:t>7</w:t>
            </w:r>
          </w:p>
        </w:tc>
      </w:tr>
      <w:tr w:rsidR="00633C2A" w:rsidRPr="00757172" w14:paraId="47F6A1C6" w14:textId="77777777" w:rsidTr="00434620">
        <w:tc>
          <w:tcPr>
            <w:tcW w:w="8725" w:type="dxa"/>
          </w:tcPr>
          <w:p w14:paraId="779FA371" w14:textId="77777777" w:rsidR="00633C2A" w:rsidRPr="00757172" w:rsidRDefault="00633C2A" w:rsidP="00434620">
            <w:pPr>
              <w:spacing w:after="180"/>
              <w:ind w:firstLine="780"/>
              <w:rPr>
                <w:rFonts w:ascii="Times New Roman" w:hAnsi="Times New Roman" w:cs="Times New Roman"/>
              </w:rPr>
            </w:pPr>
            <w:r w:rsidRPr="00757172">
              <w:rPr>
                <w:rFonts w:ascii="Times New Roman" w:hAnsi="Times New Roman" w:cs="Times New Roman"/>
              </w:rPr>
              <w:t>B.  Insurance in the Commonly Accepted Sense</w:t>
            </w:r>
          </w:p>
        </w:tc>
        <w:tc>
          <w:tcPr>
            <w:tcW w:w="810" w:type="dxa"/>
          </w:tcPr>
          <w:p w14:paraId="424E1133" w14:textId="77777777" w:rsidR="00633C2A" w:rsidRPr="00757172" w:rsidRDefault="00633C2A" w:rsidP="00434620">
            <w:pPr>
              <w:spacing w:after="180"/>
              <w:jc w:val="center"/>
              <w:rPr>
                <w:rFonts w:ascii="Times New Roman" w:hAnsi="Times New Roman" w:cs="Times New Roman"/>
              </w:rPr>
            </w:pPr>
            <w:r w:rsidRPr="00757172">
              <w:rPr>
                <w:rFonts w:ascii="Times New Roman" w:hAnsi="Times New Roman" w:cs="Times New Roman"/>
              </w:rPr>
              <w:t>10</w:t>
            </w:r>
          </w:p>
        </w:tc>
      </w:tr>
      <w:tr w:rsidR="00633C2A" w:rsidRPr="00757172" w14:paraId="7431EA7B" w14:textId="77777777" w:rsidTr="00434620">
        <w:tc>
          <w:tcPr>
            <w:tcW w:w="8725" w:type="dxa"/>
          </w:tcPr>
          <w:p w14:paraId="5BA9175F" w14:textId="77777777" w:rsidR="00633C2A" w:rsidRPr="00757172" w:rsidRDefault="00633C2A" w:rsidP="00434620">
            <w:pPr>
              <w:spacing w:after="180"/>
              <w:ind w:firstLine="780"/>
              <w:rPr>
                <w:rFonts w:ascii="Times New Roman" w:hAnsi="Times New Roman" w:cs="Times New Roman"/>
              </w:rPr>
            </w:pPr>
            <w:r w:rsidRPr="00757172">
              <w:rPr>
                <w:rFonts w:ascii="Times New Roman" w:hAnsi="Times New Roman" w:cs="Times New Roman"/>
              </w:rPr>
              <w:t>C.  Tax Consequences to the Parties Before the Court</w:t>
            </w:r>
          </w:p>
        </w:tc>
        <w:tc>
          <w:tcPr>
            <w:tcW w:w="810" w:type="dxa"/>
          </w:tcPr>
          <w:p w14:paraId="00F28DAE" w14:textId="77777777" w:rsidR="00633C2A" w:rsidRPr="00757172" w:rsidRDefault="00633C2A" w:rsidP="00434620">
            <w:pPr>
              <w:spacing w:after="180"/>
              <w:jc w:val="center"/>
              <w:rPr>
                <w:rFonts w:ascii="Times New Roman" w:hAnsi="Times New Roman" w:cs="Times New Roman"/>
              </w:rPr>
            </w:pPr>
            <w:r w:rsidRPr="00757172">
              <w:rPr>
                <w:rFonts w:ascii="Times New Roman" w:hAnsi="Times New Roman" w:cs="Times New Roman"/>
              </w:rPr>
              <w:t>12</w:t>
            </w:r>
          </w:p>
        </w:tc>
      </w:tr>
      <w:tr w:rsidR="00633C2A" w:rsidRPr="00757172" w14:paraId="05599C9D" w14:textId="77777777" w:rsidTr="00434620">
        <w:tc>
          <w:tcPr>
            <w:tcW w:w="8725" w:type="dxa"/>
          </w:tcPr>
          <w:p w14:paraId="39FD5936" w14:textId="77777777" w:rsidR="00633C2A" w:rsidRPr="00757172" w:rsidRDefault="00633C2A" w:rsidP="00434620">
            <w:pPr>
              <w:spacing w:after="180"/>
              <w:rPr>
                <w:rFonts w:ascii="Times New Roman" w:hAnsi="Times New Roman" w:cs="Times New Roman"/>
              </w:rPr>
            </w:pPr>
            <w:r w:rsidRPr="00757172">
              <w:rPr>
                <w:rFonts w:ascii="Times New Roman" w:hAnsi="Times New Roman" w:cs="Times New Roman"/>
              </w:rPr>
              <w:t xml:space="preserve">III. The </w:t>
            </w:r>
            <w:r w:rsidRPr="00757172">
              <w:rPr>
                <w:rFonts w:ascii="Times New Roman" w:hAnsi="Times New Roman" w:cs="Times New Roman"/>
                <w:i/>
              </w:rPr>
              <w:t>Reserve</w:t>
            </w:r>
            <w:r w:rsidRPr="00757172">
              <w:rPr>
                <w:rFonts w:ascii="Times New Roman" w:hAnsi="Times New Roman" w:cs="Times New Roman"/>
              </w:rPr>
              <w:t xml:space="preserve"> Court Imposed Newly Announced Requirements for Pooling Arrangements</w:t>
            </w:r>
          </w:p>
        </w:tc>
        <w:tc>
          <w:tcPr>
            <w:tcW w:w="810" w:type="dxa"/>
          </w:tcPr>
          <w:p w14:paraId="47543A9E" w14:textId="77777777" w:rsidR="00633C2A" w:rsidRPr="00757172" w:rsidRDefault="00633C2A" w:rsidP="00434620">
            <w:pPr>
              <w:spacing w:after="180"/>
              <w:jc w:val="center"/>
              <w:rPr>
                <w:rFonts w:ascii="Times New Roman" w:hAnsi="Times New Roman" w:cs="Times New Roman"/>
              </w:rPr>
            </w:pPr>
            <w:r w:rsidRPr="00757172">
              <w:rPr>
                <w:rFonts w:ascii="Times New Roman" w:hAnsi="Times New Roman" w:cs="Times New Roman"/>
              </w:rPr>
              <w:t>13</w:t>
            </w:r>
          </w:p>
        </w:tc>
      </w:tr>
      <w:tr w:rsidR="00633C2A" w:rsidRPr="00757172" w14:paraId="2E55FAEB" w14:textId="77777777" w:rsidTr="00434620">
        <w:tc>
          <w:tcPr>
            <w:tcW w:w="8725" w:type="dxa"/>
          </w:tcPr>
          <w:p w14:paraId="59D9E503" w14:textId="77777777" w:rsidR="00633C2A" w:rsidRPr="00757172" w:rsidRDefault="00633C2A" w:rsidP="00434620">
            <w:pPr>
              <w:spacing w:after="180"/>
              <w:ind w:left="1140" w:hanging="360"/>
              <w:rPr>
                <w:rFonts w:ascii="Times New Roman" w:hAnsi="Times New Roman" w:cs="Times New Roman"/>
              </w:rPr>
            </w:pPr>
            <w:r w:rsidRPr="00757172">
              <w:rPr>
                <w:rFonts w:ascii="Times New Roman" w:hAnsi="Times New Roman" w:cs="Times New Roman"/>
              </w:rPr>
              <w:t>A.  Court Applied a New Legal Standard to PoolRe, Creating an Uncontested Issue</w:t>
            </w:r>
          </w:p>
        </w:tc>
        <w:tc>
          <w:tcPr>
            <w:tcW w:w="810" w:type="dxa"/>
          </w:tcPr>
          <w:p w14:paraId="173383DA" w14:textId="77777777" w:rsidR="00633C2A" w:rsidRPr="00757172" w:rsidRDefault="00633C2A" w:rsidP="00434620">
            <w:pPr>
              <w:spacing w:after="180"/>
              <w:jc w:val="center"/>
              <w:rPr>
                <w:rFonts w:ascii="Times New Roman" w:hAnsi="Times New Roman" w:cs="Times New Roman"/>
              </w:rPr>
            </w:pPr>
            <w:r w:rsidRPr="00757172">
              <w:rPr>
                <w:rFonts w:ascii="Times New Roman" w:hAnsi="Times New Roman" w:cs="Times New Roman"/>
              </w:rPr>
              <w:t>13</w:t>
            </w:r>
          </w:p>
        </w:tc>
      </w:tr>
      <w:tr w:rsidR="00633C2A" w:rsidRPr="00757172" w14:paraId="596B5627" w14:textId="77777777" w:rsidTr="00434620">
        <w:tc>
          <w:tcPr>
            <w:tcW w:w="8725" w:type="dxa"/>
          </w:tcPr>
          <w:p w14:paraId="3387D01B" w14:textId="77777777" w:rsidR="00633C2A" w:rsidRPr="00757172" w:rsidRDefault="00633C2A" w:rsidP="00434620">
            <w:pPr>
              <w:spacing w:after="180"/>
              <w:ind w:firstLine="780"/>
              <w:rPr>
                <w:rFonts w:ascii="Times New Roman" w:hAnsi="Times New Roman" w:cs="Times New Roman"/>
              </w:rPr>
            </w:pPr>
            <w:r w:rsidRPr="00757172">
              <w:rPr>
                <w:rFonts w:ascii="Times New Roman" w:hAnsi="Times New Roman" w:cs="Times New Roman"/>
              </w:rPr>
              <w:t>B.  The IRS Ignored its Own “Look-Through” Concept</w:t>
            </w:r>
          </w:p>
        </w:tc>
        <w:tc>
          <w:tcPr>
            <w:tcW w:w="810" w:type="dxa"/>
          </w:tcPr>
          <w:p w14:paraId="7C476144" w14:textId="77777777" w:rsidR="00633C2A" w:rsidRPr="00757172" w:rsidRDefault="00633C2A" w:rsidP="00434620">
            <w:pPr>
              <w:spacing w:after="180"/>
              <w:jc w:val="center"/>
              <w:rPr>
                <w:rFonts w:ascii="Times New Roman" w:hAnsi="Times New Roman" w:cs="Times New Roman"/>
              </w:rPr>
            </w:pPr>
            <w:r w:rsidRPr="00757172">
              <w:rPr>
                <w:rFonts w:ascii="Times New Roman" w:hAnsi="Times New Roman" w:cs="Times New Roman"/>
              </w:rPr>
              <w:t>15</w:t>
            </w:r>
          </w:p>
        </w:tc>
      </w:tr>
      <w:tr w:rsidR="00633C2A" w:rsidRPr="00757172" w14:paraId="406924A3" w14:textId="77777777" w:rsidTr="00434620">
        <w:tc>
          <w:tcPr>
            <w:tcW w:w="8725" w:type="dxa"/>
          </w:tcPr>
          <w:p w14:paraId="05D4F81A" w14:textId="77777777" w:rsidR="00633C2A" w:rsidRPr="00757172" w:rsidRDefault="00633C2A" w:rsidP="00434620">
            <w:pPr>
              <w:spacing w:after="180"/>
              <w:rPr>
                <w:rFonts w:ascii="Times New Roman" w:hAnsi="Times New Roman" w:cs="Times New Roman"/>
              </w:rPr>
            </w:pPr>
            <w:r w:rsidRPr="00757172">
              <w:rPr>
                <w:rFonts w:ascii="Times New Roman" w:hAnsi="Times New Roman" w:cs="Times New Roman"/>
              </w:rPr>
              <w:t xml:space="preserve">IV. The </w:t>
            </w:r>
            <w:r w:rsidRPr="00757172">
              <w:rPr>
                <w:rFonts w:ascii="Times New Roman" w:hAnsi="Times New Roman" w:cs="Times New Roman"/>
                <w:i/>
              </w:rPr>
              <w:t>Reserve</w:t>
            </w:r>
            <w:r w:rsidRPr="00757172">
              <w:rPr>
                <w:rFonts w:ascii="Times New Roman" w:hAnsi="Times New Roman" w:cs="Times New Roman"/>
              </w:rPr>
              <w:t xml:space="preserve"> Court Misapplied </w:t>
            </w:r>
            <w:r w:rsidRPr="00757172">
              <w:rPr>
                <w:rFonts w:ascii="Times New Roman" w:hAnsi="Times New Roman" w:cs="Times New Roman"/>
                <w:i/>
              </w:rPr>
              <w:t>Avrahami</w:t>
            </w:r>
            <w:r w:rsidRPr="00757172">
              <w:rPr>
                <w:rFonts w:ascii="Times New Roman" w:hAnsi="Times New Roman" w:cs="Times New Roman"/>
              </w:rPr>
              <w:t xml:space="preserve"> Despite Fundamental Differences</w:t>
            </w:r>
          </w:p>
        </w:tc>
        <w:tc>
          <w:tcPr>
            <w:tcW w:w="810" w:type="dxa"/>
          </w:tcPr>
          <w:p w14:paraId="563EC06E" w14:textId="77777777" w:rsidR="00633C2A" w:rsidRPr="00757172" w:rsidRDefault="00633C2A" w:rsidP="00434620">
            <w:pPr>
              <w:spacing w:after="180"/>
              <w:jc w:val="center"/>
              <w:rPr>
                <w:rFonts w:ascii="Times New Roman" w:hAnsi="Times New Roman" w:cs="Times New Roman"/>
              </w:rPr>
            </w:pPr>
            <w:r w:rsidRPr="00757172">
              <w:rPr>
                <w:rFonts w:ascii="Times New Roman" w:hAnsi="Times New Roman" w:cs="Times New Roman"/>
              </w:rPr>
              <w:t>18</w:t>
            </w:r>
          </w:p>
        </w:tc>
      </w:tr>
      <w:tr w:rsidR="00633C2A" w:rsidRPr="00757172" w14:paraId="523FD8C0" w14:textId="77777777" w:rsidTr="00434620">
        <w:tc>
          <w:tcPr>
            <w:tcW w:w="8725" w:type="dxa"/>
          </w:tcPr>
          <w:p w14:paraId="1CAF518A" w14:textId="77777777" w:rsidR="00633C2A" w:rsidRPr="00757172" w:rsidRDefault="00633C2A" w:rsidP="00434620">
            <w:pPr>
              <w:spacing w:after="180"/>
              <w:rPr>
                <w:rFonts w:ascii="Times New Roman" w:hAnsi="Times New Roman" w:cs="Times New Roman"/>
              </w:rPr>
            </w:pPr>
            <w:r w:rsidRPr="00757172">
              <w:rPr>
                <w:rFonts w:ascii="Times New Roman" w:hAnsi="Times New Roman" w:cs="Times New Roman"/>
              </w:rPr>
              <w:t xml:space="preserve">V. Court’s Findings in Applying </w:t>
            </w:r>
            <w:r w:rsidRPr="00757172">
              <w:rPr>
                <w:rFonts w:ascii="Times New Roman" w:hAnsi="Times New Roman" w:cs="Times New Roman"/>
                <w:i/>
              </w:rPr>
              <w:t>Avrahami</w:t>
            </w:r>
            <w:r w:rsidRPr="00757172">
              <w:rPr>
                <w:rFonts w:ascii="Times New Roman" w:hAnsi="Times New Roman" w:cs="Times New Roman"/>
              </w:rPr>
              <w:t xml:space="preserve"> Factors Are Inconsistent with the Evidence</w:t>
            </w:r>
          </w:p>
        </w:tc>
        <w:tc>
          <w:tcPr>
            <w:tcW w:w="810" w:type="dxa"/>
          </w:tcPr>
          <w:p w14:paraId="0CD7EA30" w14:textId="77777777" w:rsidR="00633C2A" w:rsidRPr="00757172" w:rsidRDefault="00633C2A" w:rsidP="00434620">
            <w:pPr>
              <w:spacing w:after="180"/>
              <w:jc w:val="center"/>
              <w:rPr>
                <w:rFonts w:ascii="Times New Roman" w:hAnsi="Times New Roman" w:cs="Times New Roman"/>
              </w:rPr>
            </w:pPr>
            <w:r w:rsidRPr="00757172">
              <w:rPr>
                <w:rFonts w:ascii="Times New Roman" w:hAnsi="Times New Roman" w:cs="Times New Roman"/>
              </w:rPr>
              <w:t>20</w:t>
            </w:r>
          </w:p>
        </w:tc>
      </w:tr>
      <w:tr w:rsidR="00633C2A" w:rsidRPr="00757172" w14:paraId="395A57D9" w14:textId="77777777" w:rsidTr="00434620">
        <w:tc>
          <w:tcPr>
            <w:tcW w:w="8725" w:type="dxa"/>
          </w:tcPr>
          <w:p w14:paraId="766B291F" w14:textId="77777777" w:rsidR="00633C2A" w:rsidRPr="00757172" w:rsidRDefault="00633C2A" w:rsidP="00434620">
            <w:pPr>
              <w:spacing w:after="180"/>
              <w:ind w:firstLine="780"/>
              <w:rPr>
                <w:rFonts w:ascii="Times New Roman" w:hAnsi="Times New Roman" w:cs="Times New Roman"/>
              </w:rPr>
            </w:pPr>
            <w:r w:rsidRPr="00757172">
              <w:rPr>
                <w:rFonts w:ascii="Times New Roman" w:hAnsi="Times New Roman" w:cs="Times New Roman"/>
              </w:rPr>
              <w:t>A.  “Bona Fide Insurance Company” Test</w:t>
            </w:r>
          </w:p>
        </w:tc>
        <w:tc>
          <w:tcPr>
            <w:tcW w:w="810" w:type="dxa"/>
          </w:tcPr>
          <w:p w14:paraId="08156F45" w14:textId="77777777" w:rsidR="00633C2A" w:rsidRPr="00757172" w:rsidRDefault="00633C2A" w:rsidP="00434620">
            <w:pPr>
              <w:spacing w:after="180"/>
              <w:jc w:val="center"/>
              <w:rPr>
                <w:rFonts w:ascii="Times New Roman" w:hAnsi="Times New Roman" w:cs="Times New Roman"/>
              </w:rPr>
            </w:pPr>
            <w:r w:rsidRPr="00757172">
              <w:rPr>
                <w:rFonts w:ascii="Times New Roman" w:hAnsi="Times New Roman" w:cs="Times New Roman"/>
              </w:rPr>
              <w:t>21</w:t>
            </w:r>
          </w:p>
        </w:tc>
      </w:tr>
      <w:tr w:rsidR="00633C2A" w:rsidRPr="00757172" w14:paraId="30EED7E8" w14:textId="77777777" w:rsidTr="00434620">
        <w:tc>
          <w:tcPr>
            <w:tcW w:w="8725" w:type="dxa"/>
          </w:tcPr>
          <w:p w14:paraId="59E8F8FF" w14:textId="77777777" w:rsidR="00633C2A" w:rsidRPr="00757172" w:rsidRDefault="00633C2A" w:rsidP="00434620">
            <w:pPr>
              <w:spacing w:after="180"/>
              <w:ind w:firstLine="1140"/>
              <w:rPr>
                <w:rFonts w:ascii="Times New Roman" w:hAnsi="Times New Roman" w:cs="Times New Roman"/>
              </w:rPr>
            </w:pPr>
            <w:r w:rsidRPr="00757172">
              <w:rPr>
                <w:rFonts w:ascii="Times New Roman" w:hAnsi="Times New Roman" w:cs="Times New Roman"/>
              </w:rPr>
              <w:t>1. Circular Flow of Funds</w:t>
            </w:r>
          </w:p>
        </w:tc>
        <w:tc>
          <w:tcPr>
            <w:tcW w:w="810" w:type="dxa"/>
          </w:tcPr>
          <w:p w14:paraId="59A52E52" w14:textId="77777777" w:rsidR="00633C2A" w:rsidRPr="00757172" w:rsidRDefault="00633C2A" w:rsidP="00434620">
            <w:pPr>
              <w:spacing w:after="180"/>
              <w:jc w:val="center"/>
              <w:rPr>
                <w:rFonts w:ascii="Times New Roman" w:hAnsi="Times New Roman" w:cs="Times New Roman"/>
              </w:rPr>
            </w:pPr>
            <w:r w:rsidRPr="00757172">
              <w:rPr>
                <w:rFonts w:ascii="Times New Roman" w:hAnsi="Times New Roman" w:cs="Times New Roman"/>
              </w:rPr>
              <w:t>21</w:t>
            </w:r>
          </w:p>
        </w:tc>
      </w:tr>
      <w:tr w:rsidR="00633C2A" w:rsidRPr="00757172" w14:paraId="04B50F16" w14:textId="77777777" w:rsidTr="00434620">
        <w:tc>
          <w:tcPr>
            <w:tcW w:w="8725" w:type="dxa"/>
          </w:tcPr>
          <w:p w14:paraId="55DDAA22" w14:textId="77777777" w:rsidR="00633C2A" w:rsidRPr="00757172" w:rsidRDefault="00633C2A" w:rsidP="00434620">
            <w:pPr>
              <w:spacing w:after="180"/>
              <w:ind w:firstLine="1140"/>
              <w:rPr>
                <w:rFonts w:ascii="Times New Roman" w:hAnsi="Times New Roman" w:cs="Times New Roman"/>
              </w:rPr>
            </w:pPr>
            <w:r w:rsidRPr="00757172">
              <w:rPr>
                <w:rFonts w:ascii="Times New Roman" w:hAnsi="Times New Roman" w:cs="Times New Roman"/>
              </w:rPr>
              <w:t>2.  Arm’s-Length Contracts</w:t>
            </w:r>
            <w:r w:rsidRPr="00757172">
              <w:rPr>
                <w:rFonts w:ascii="Times New Roman" w:hAnsi="Times New Roman" w:cs="Times New Roman"/>
              </w:rPr>
              <w:tab/>
            </w:r>
          </w:p>
        </w:tc>
        <w:tc>
          <w:tcPr>
            <w:tcW w:w="810" w:type="dxa"/>
          </w:tcPr>
          <w:p w14:paraId="33D4C5CD" w14:textId="77777777" w:rsidR="00633C2A" w:rsidRPr="00757172" w:rsidRDefault="00633C2A" w:rsidP="00434620">
            <w:pPr>
              <w:spacing w:after="180"/>
              <w:jc w:val="center"/>
              <w:rPr>
                <w:rFonts w:ascii="Times New Roman" w:hAnsi="Times New Roman" w:cs="Times New Roman"/>
              </w:rPr>
            </w:pPr>
            <w:r w:rsidRPr="00757172">
              <w:rPr>
                <w:rFonts w:ascii="Times New Roman" w:hAnsi="Times New Roman" w:cs="Times New Roman"/>
              </w:rPr>
              <w:t>23</w:t>
            </w:r>
          </w:p>
        </w:tc>
      </w:tr>
      <w:tr w:rsidR="00633C2A" w:rsidRPr="00757172" w14:paraId="51C0D56A" w14:textId="77777777" w:rsidTr="00434620">
        <w:tc>
          <w:tcPr>
            <w:tcW w:w="8725" w:type="dxa"/>
          </w:tcPr>
          <w:p w14:paraId="311068A7" w14:textId="77777777" w:rsidR="00633C2A" w:rsidRPr="00757172" w:rsidRDefault="00633C2A" w:rsidP="00434620">
            <w:pPr>
              <w:spacing w:after="180"/>
              <w:ind w:firstLine="1140"/>
              <w:rPr>
                <w:rFonts w:ascii="Times New Roman" w:hAnsi="Times New Roman" w:cs="Times New Roman"/>
              </w:rPr>
            </w:pPr>
            <w:r w:rsidRPr="00757172">
              <w:rPr>
                <w:rFonts w:ascii="Times New Roman" w:hAnsi="Times New Roman" w:cs="Times New Roman"/>
              </w:rPr>
              <w:t>3.  Actuarially Determined Premiums</w:t>
            </w:r>
          </w:p>
        </w:tc>
        <w:tc>
          <w:tcPr>
            <w:tcW w:w="810" w:type="dxa"/>
          </w:tcPr>
          <w:p w14:paraId="5D8BA835" w14:textId="77777777" w:rsidR="00633C2A" w:rsidRPr="00757172" w:rsidRDefault="00633C2A" w:rsidP="00434620">
            <w:pPr>
              <w:spacing w:after="180"/>
              <w:jc w:val="center"/>
              <w:rPr>
                <w:rFonts w:ascii="Times New Roman" w:hAnsi="Times New Roman" w:cs="Times New Roman"/>
              </w:rPr>
            </w:pPr>
            <w:r w:rsidRPr="00757172">
              <w:rPr>
                <w:rFonts w:ascii="Times New Roman" w:hAnsi="Times New Roman" w:cs="Times New Roman"/>
              </w:rPr>
              <w:t>26</w:t>
            </w:r>
          </w:p>
        </w:tc>
      </w:tr>
      <w:tr w:rsidR="00633C2A" w:rsidRPr="00757172" w14:paraId="16E1D15C" w14:textId="77777777" w:rsidTr="00434620">
        <w:tc>
          <w:tcPr>
            <w:tcW w:w="8725" w:type="dxa"/>
          </w:tcPr>
          <w:p w14:paraId="6DC82D61" w14:textId="77777777" w:rsidR="00633C2A" w:rsidRPr="00757172" w:rsidRDefault="00633C2A" w:rsidP="00434620">
            <w:pPr>
              <w:spacing w:after="180"/>
              <w:ind w:firstLine="1140"/>
              <w:rPr>
                <w:rFonts w:ascii="Times New Roman" w:hAnsi="Times New Roman" w:cs="Times New Roman"/>
              </w:rPr>
            </w:pPr>
            <w:r w:rsidRPr="00757172">
              <w:rPr>
                <w:rFonts w:ascii="Times New Roman" w:hAnsi="Times New Roman" w:cs="Times New Roman"/>
              </w:rPr>
              <w:t>4.  Faced Actual and Insurable Risk</w:t>
            </w:r>
          </w:p>
        </w:tc>
        <w:tc>
          <w:tcPr>
            <w:tcW w:w="810" w:type="dxa"/>
          </w:tcPr>
          <w:p w14:paraId="3381D554" w14:textId="77777777" w:rsidR="00633C2A" w:rsidRPr="00757172" w:rsidRDefault="00633C2A" w:rsidP="00434620">
            <w:pPr>
              <w:spacing w:after="180"/>
              <w:jc w:val="center"/>
              <w:rPr>
                <w:rFonts w:ascii="Times New Roman" w:hAnsi="Times New Roman" w:cs="Times New Roman"/>
              </w:rPr>
            </w:pPr>
            <w:r w:rsidRPr="00757172">
              <w:rPr>
                <w:rFonts w:ascii="Times New Roman" w:hAnsi="Times New Roman" w:cs="Times New Roman"/>
              </w:rPr>
              <w:t>29</w:t>
            </w:r>
          </w:p>
        </w:tc>
      </w:tr>
      <w:tr w:rsidR="00633C2A" w:rsidRPr="00757172" w14:paraId="06266A75" w14:textId="77777777" w:rsidTr="00434620">
        <w:tc>
          <w:tcPr>
            <w:tcW w:w="8725" w:type="dxa"/>
          </w:tcPr>
          <w:p w14:paraId="702961BA" w14:textId="77777777" w:rsidR="00633C2A" w:rsidRPr="00757172" w:rsidRDefault="00633C2A" w:rsidP="00434620">
            <w:pPr>
              <w:spacing w:after="180"/>
              <w:ind w:firstLine="1140"/>
              <w:rPr>
                <w:rFonts w:ascii="Times New Roman" w:hAnsi="Times New Roman" w:cs="Times New Roman"/>
              </w:rPr>
            </w:pPr>
            <w:r w:rsidRPr="00757172">
              <w:rPr>
                <w:rFonts w:ascii="Times New Roman" w:hAnsi="Times New Roman" w:cs="Times New Roman"/>
              </w:rPr>
              <w:t>5.  Licensed and Regulated as an Insurance Company</w:t>
            </w:r>
          </w:p>
        </w:tc>
        <w:tc>
          <w:tcPr>
            <w:tcW w:w="810" w:type="dxa"/>
          </w:tcPr>
          <w:p w14:paraId="7E971C52" w14:textId="77777777" w:rsidR="00633C2A" w:rsidRPr="00757172" w:rsidRDefault="00633C2A" w:rsidP="00434620">
            <w:pPr>
              <w:spacing w:after="180"/>
              <w:jc w:val="center"/>
              <w:rPr>
                <w:rFonts w:ascii="Times New Roman" w:hAnsi="Times New Roman" w:cs="Times New Roman"/>
              </w:rPr>
            </w:pPr>
            <w:r w:rsidRPr="00757172">
              <w:rPr>
                <w:rFonts w:ascii="Times New Roman" w:hAnsi="Times New Roman" w:cs="Times New Roman"/>
              </w:rPr>
              <w:t>31</w:t>
            </w:r>
          </w:p>
        </w:tc>
      </w:tr>
      <w:tr w:rsidR="00633C2A" w:rsidRPr="00757172" w14:paraId="1BD4243A" w14:textId="77777777" w:rsidTr="00434620">
        <w:tc>
          <w:tcPr>
            <w:tcW w:w="8725" w:type="dxa"/>
          </w:tcPr>
          <w:p w14:paraId="0ACEB6F1" w14:textId="77777777" w:rsidR="00633C2A" w:rsidRPr="00757172" w:rsidRDefault="00633C2A" w:rsidP="00434620">
            <w:pPr>
              <w:spacing w:after="180"/>
              <w:ind w:firstLine="1140"/>
              <w:rPr>
                <w:rFonts w:ascii="Times New Roman" w:hAnsi="Times New Roman" w:cs="Times New Roman"/>
              </w:rPr>
            </w:pPr>
            <w:r w:rsidRPr="00757172">
              <w:rPr>
                <w:rFonts w:ascii="Times New Roman" w:hAnsi="Times New Roman" w:cs="Times New Roman"/>
              </w:rPr>
              <w:t>6.  Created for Legitimate Nontax Reasons</w:t>
            </w:r>
          </w:p>
        </w:tc>
        <w:tc>
          <w:tcPr>
            <w:tcW w:w="810" w:type="dxa"/>
          </w:tcPr>
          <w:p w14:paraId="374CE403" w14:textId="77777777" w:rsidR="00633C2A" w:rsidRPr="00757172" w:rsidRDefault="00633C2A" w:rsidP="00434620">
            <w:pPr>
              <w:spacing w:after="180"/>
              <w:jc w:val="center"/>
              <w:rPr>
                <w:rFonts w:ascii="Times New Roman" w:hAnsi="Times New Roman" w:cs="Times New Roman"/>
              </w:rPr>
            </w:pPr>
            <w:r w:rsidRPr="00757172">
              <w:rPr>
                <w:rFonts w:ascii="Times New Roman" w:hAnsi="Times New Roman" w:cs="Times New Roman"/>
              </w:rPr>
              <w:t>31</w:t>
            </w:r>
          </w:p>
        </w:tc>
      </w:tr>
      <w:tr w:rsidR="00633C2A" w:rsidRPr="00757172" w14:paraId="7853992B" w14:textId="77777777" w:rsidTr="00434620">
        <w:tc>
          <w:tcPr>
            <w:tcW w:w="8725" w:type="dxa"/>
          </w:tcPr>
          <w:p w14:paraId="347E9672" w14:textId="77777777" w:rsidR="00633C2A" w:rsidRPr="00757172" w:rsidRDefault="00633C2A" w:rsidP="00434620">
            <w:pPr>
              <w:spacing w:after="180"/>
              <w:ind w:firstLine="780"/>
              <w:rPr>
                <w:rFonts w:ascii="Times New Roman" w:hAnsi="Times New Roman" w:cs="Times New Roman"/>
              </w:rPr>
            </w:pPr>
            <w:r w:rsidRPr="00757172">
              <w:rPr>
                <w:rFonts w:ascii="Times New Roman" w:hAnsi="Times New Roman" w:cs="Times New Roman"/>
              </w:rPr>
              <w:t>B.  “Insurance in the Commonly Accepted Sense”</w:t>
            </w:r>
          </w:p>
        </w:tc>
        <w:tc>
          <w:tcPr>
            <w:tcW w:w="810" w:type="dxa"/>
          </w:tcPr>
          <w:p w14:paraId="775E50ED" w14:textId="77777777" w:rsidR="00633C2A" w:rsidRPr="00757172" w:rsidRDefault="00633C2A" w:rsidP="00434620">
            <w:pPr>
              <w:spacing w:after="180"/>
              <w:jc w:val="center"/>
              <w:rPr>
                <w:rFonts w:ascii="Times New Roman" w:hAnsi="Times New Roman" w:cs="Times New Roman"/>
              </w:rPr>
            </w:pPr>
            <w:r w:rsidRPr="00757172">
              <w:rPr>
                <w:rFonts w:ascii="Times New Roman" w:hAnsi="Times New Roman" w:cs="Times New Roman"/>
              </w:rPr>
              <w:t>33</w:t>
            </w:r>
          </w:p>
        </w:tc>
      </w:tr>
      <w:tr w:rsidR="00633C2A" w:rsidRPr="00757172" w14:paraId="29858628" w14:textId="77777777" w:rsidTr="00434620">
        <w:tc>
          <w:tcPr>
            <w:tcW w:w="8725" w:type="dxa"/>
          </w:tcPr>
          <w:p w14:paraId="3A27F73D" w14:textId="77777777" w:rsidR="00633C2A" w:rsidRPr="00757172" w:rsidRDefault="00633C2A" w:rsidP="00434620">
            <w:pPr>
              <w:spacing w:after="180"/>
              <w:ind w:firstLine="1140"/>
              <w:rPr>
                <w:rFonts w:ascii="Times New Roman" w:hAnsi="Times New Roman" w:cs="Times New Roman"/>
              </w:rPr>
            </w:pPr>
            <w:r w:rsidRPr="00757172">
              <w:rPr>
                <w:rFonts w:ascii="Times New Roman" w:hAnsi="Times New Roman" w:cs="Times New Roman"/>
              </w:rPr>
              <w:t>1. Organization, Operation, and Regulation</w:t>
            </w:r>
          </w:p>
        </w:tc>
        <w:tc>
          <w:tcPr>
            <w:tcW w:w="810" w:type="dxa"/>
          </w:tcPr>
          <w:p w14:paraId="2A44B94D" w14:textId="77777777" w:rsidR="00633C2A" w:rsidRPr="00757172" w:rsidRDefault="00633C2A" w:rsidP="00434620">
            <w:pPr>
              <w:spacing w:after="180"/>
              <w:jc w:val="center"/>
              <w:rPr>
                <w:rFonts w:ascii="Times New Roman" w:hAnsi="Times New Roman" w:cs="Times New Roman"/>
              </w:rPr>
            </w:pPr>
            <w:r w:rsidRPr="00757172">
              <w:rPr>
                <w:rFonts w:ascii="Times New Roman" w:hAnsi="Times New Roman" w:cs="Times New Roman"/>
              </w:rPr>
              <w:t>33</w:t>
            </w:r>
          </w:p>
        </w:tc>
      </w:tr>
      <w:tr w:rsidR="00633C2A" w:rsidRPr="00757172" w14:paraId="0361B52E" w14:textId="77777777" w:rsidTr="00434620">
        <w:tc>
          <w:tcPr>
            <w:tcW w:w="8725" w:type="dxa"/>
          </w:tcPr>
          <w:p w14:paraId="02787571" w14:textId="77777777" w:rsidR="00633C2A" w:rsidRPr="00757172" w:rsidRDefault="00633C2A" w:rsidP="00434620">
            <w:pPr>
              <w:spacing w:after="180"/>
              <w:ind w:firstLine="1140"/>
              <w:rPr>
                <w:rFonts w:ascii="Times New Roman" w:hAnsi="Times New Roman" w:cs="Times New Roman"/>
              </w:rPr>
            </w:pPr>
            <w:r w:rsidRPr="00757172">
              <w:rPr>
                <w:rFonts w:ascii="Times New Roman" w:hAnsi="Times New Roman" w:cs="Times New Roman"/>
              </w:rPr>
              <w:t>2. Adequate Capitalization</w:t>
            </w:r>
          </w:p>
        </w:tc>
        <w:tc>
          <w:tcPr>
            <w:tcW w:w="810" w:type="dxa"/>
          </w:tcPr>
          <w:p w14:paraId="623E1969" w14:textId="77777777" w:rsidR="00633C2A" w:rsidRPr="00757172" w:rsidRDefault="00633C2A" w:rsidP="00434620">
            <w:pPr>
              <w:spacing w:after="180"/>
              <w:jc w:val="center"/>
              <w:rPr>
                <w:rFonts w:ascii="Times New Roman" w:hAnsi="Times New Roman" w:cs="Times New Roman"/>
              </w:rPr>
            </w:pPr>
            <w:r w:rsidRPr="00757172">
              <w:rPr>
                <w:rFonts w:ascii="Times New Roman" w:hAnsi="Times New Roman" w:cs="Times New Roman"/>
              </w:rPr>
              <w:t>35</w:t>
            </w:r>
          </w:p>
        </w:tc>
      </w:tr>
      <w:tr w:rsidR="00633C2A" w:rsidRPr="00757172" w14:paraId="715A0A87" w14:textId="77777777" w:rsidTr="00434620">
        <w:tc>
          <w:tcPr>
            <w:tcW w:w="8725" w:type="dxa"/>
          </w:tcPr>
          <w:p w14:paraId="56705CA2" w14:textId="77777777" w:rsidR="00633C2A" w:rsidRPr="00757172" w:rsidRDefault="00633C2A" w:rsidP="00434620">
            <w:pPr>
              <w:spacing w:after="180"/>
              <w:ind w:firstLine="1140"/>
              <w:rPr>
                <w:rFonts w:ascii="Times New Roman" w:hAnsi="Times New Roman" w:cs="Times New Roman"/>
              </w:rPr>
            </w:pPr>
            <w:r w:rsidRPr="00757172">
              <w:rPr>
                <w:rFonts w:ascii="Times New Roman" w:hAnsi="Times New Roman" w:cs="Times New Roman"/>
              </w:rPr>
              <w:t>3. Valid and Binding Policies</w:t>
            </w:r>
          </w:p>
        </w:tc>
        <w:tc>
          <w:tcPr>
            <w:tcW w:w="810" w:type="dxa"/>
          </w:tcPr>
          <w:p w14:paraId="2F9E9229" w14:textId="77777777" w:rsidR="00633C2A" w:rsidRPr="00757172" w:rsidRDefault="00633C2A" w:rsidP="00434620">
            <w:pPr>
              <w:spacing w:after="180"/>
              <w:jc w:val="center"/>
              <w:rPr>
                <w:rFonts w:ascii="Times New Roman" w:hAnsi="Times New Roman" w:cs="Times New Roman"/>
              </w:rPr>
            </w:pPr>
            <w:r w:rsidRPr="00757172">
              <w:rPr>
                <w:rFonts w:ascii="Times New Roman" w:hAnsi="Times New Roman" w:cs="Times New Roman"/>
              </w:rPr>
              <w:t>35</w:t>
            </w:r>
          </w:p>
        </w:tc>
      </w:tr>
      <w:tr w:rsidR="00633C2A" w:rsidRPr="00757172" w14:paraId="35E38BE1" w14:textId="77777777" w:rsidTr="00434620">
        <w:tc>
          <w:tcPr>
            <w:tcW w:w="8725" w:type="dxa"/>
          </w:tcPr>
          <w:p w14:paraId="2652E2DE" w14:textId="77777777" w:rsidR="00633C2A" w:rsidRPr="00757172" w:rsidRDefault="00633C2A" w:rsidP="00434620">
            <w:pPr>
              <w:spacing w:after="180"/>
              <w:ind w:firstLine="1140"/>
              <w:rPr>
                <w:rFonts w:ascii="Times New Roman" w:hAnsi="Times New Roman" w:cs="Times New Roman"/>
              </w:rPr>
            </w:pPr>
            <w:r w:rsidRPr="00757172">
              <w:rPr>
                <w:rFonts w:ascii="Times New Roman" w:hAnsi="Times New Roman" w:cs="Times New Roman"/>
              </w:rPr>
              <w:t>4. Reasonableness of Premiums</w:t>
            </w:r>
          </w:p>
        </w:tc>
        <w:tc>
          <w:tcPr>
            <w:tcW w:w="810" w:type="dxa"/>
          </w:tcPr>
          <w:p w14:paraId="54D62202" w14:textId="77777777" w:rsidR="00633C2A" w:rsidRPr="00757172" w:rsidRDefault="00633C2A" w:rsidP="00434620">
            <w:pPr>
              <w:spacing w:after="180"/>
              <w:jc w:val="center"/>
              <w:rPr>
                <w:rFonts w:ascii="Times New Roman" w:hAnsi="Times New Roman" w:cs="Times New Roman"/>
              </w:rPr>
            </w:pPr>
            <w:r w:rsidRPr="00757172">
              <w:rPr>
                <w:rFonts w:ascii="Times New Roman" w:hAnsi="Times New Roman" w:cs="Times New Roman"/>
              </w:rPr>
              <w:t>36</w:t>
            </w:r>
          </w:p>
        </w:tc>
      </w:tr>
      <w:tr w:rsidR="00633C2A" w:rsidRPr="00757172" w14:paraId="5596550D" w14:textId="77777777" w:rsidTr="00434620">
        <w:tc>
          <w:tcPr>
            <w:tcW w:w="8725" w:type="dxa"/>
          </w:tcPr>
          <w:p w14:paraId="757A18D1" w14:textId="77777777" w:rsidR="00633C2A" w:rsidRPr="00757172" w:rsidRDefault="00633C2A" w:rsidP="00434620">
            <w:pPr>
              <w:spacing w:after="180"/>
              <w:ind w:firstLine="1140"/>
              <w:rPr>
                <w:rFonts w:ascii="Times New Roman" w:hAnsi="Times New Roman" w:cs="Times New Roman"/>
              </w:rPr>
            </w:pPr>
            <w:r w:rsidRPr="00757172">
              <w:rPr>
                <w:rFonts w:ascii="Times New Roman" w:hAnsi="Times New Roman" w:cs="Times New Roman"/>
              </w:rPr>
              <w:t>5. Payment of Claims</w:t>
            </w:r>
          </w:p>
        </w:tc>
        <w:tc>
          <w:tcPr>
            <w:tcW w:w="810" w:type="dxa"/>
          </w:tcPr>
          <w:p w14:paraId="68170136" w14:textId="77777777" w:rsidR="00633C2A" w:rsidRPr="00757172" w:rsidRDefault="00633C2A" w:rsidP="00434620">
            <w:pPr>
              <w:spacing w:after="180"/>
              <w:jc w:val="center"/>
              <w:rPr>
                <w:rFonts w:ascii="Times New Roman" w:hAnsi="Times New Roman" w:cs="Times New Roman"/>
              </w:rPr>
            </w:pPr>
            <w:r w:rsidRPr="00757172">
              <w:rPr>
                <w:rFonts w:ascii="Times New Roman" w:hAnsi="Times New Roman" w:cs="Times New Roman"/>
              </w:rPr>
              <w:t>38</w:t>
            </w:r>
          </w:p>
        </w:tc>
      </w:tr>
      <w:tr w:rsidR="00633C2A" w:rsidRPr="00757172" w14:paraId="3812BDBB" w14:textId="77777777" w:rsidTr="00434620">
        <w:tc>
          <w:tcPr>
            <w:tcW w:w="8725" w:type="dxa"/>
          </w:tcPr>
          <w:p w14:paraId="0349A4CD" w14:textId="77777777" w:rsidR="00633C2A" w:rsidRPr="00757172" w:rsidRDefault="00633C2A" w:rsidP="00434620">
            <w:pPr>
              <w:tabs>
                <w:tab w:val="left" w:pos="4590"/>
              </w:tabs>
              <w:spacing w:after="180"/>
              <w:rPr>
                <w:rFonts w:ascii="Times New Roman" w:hAnsi="Times New Roman" w:cs="Times New Roman"/>
              </w:rPr>
            </w:pPr>
            <w:r w:rsidRPr="00757172">
              <w:rPr>
                <w:rFonts w:ascii="Times New Roman" w:hAnsi="Times New Roman" w:cs="Times New Roman"/>
              </w:rPr>
              <w:t>Endnotes</w:t>
            </w:r>
            <w:r w:rsidRPr="00757172">
              <w:rPr>
                <w:rFonts w:ascii="Times New Roman" w:hAnsi="Times New Roman" w:cs="Times New Roman"/>
              </w:rPr>
              <w:tab/>
            </w:r>
          </w:p>
        </w:tc>
        <w:tc>
          <w:tcPr>
            <w:tcW w:w="810" w:type="dxa"/>
          </w:tcPr>
          <w:p w14:paraId="3B43EE1E" w14:textId="77777777" w:rsidR="00633C2A" w:rsidRPr="00757172" w:rsidRDefault="00633C2A" w:rsidP="00434620">
            <w:pPr>
              <w:spacing w:after="180"/>
              <w:jc w:val="center"/>
              <w:rPr>
                <w:rFonts w:ascii="Times New Roman" w:hAnsi="Times New Roman" w:cs="Times New Roman"/>
              </w:rPr>
            </w:pPr>
            <w:r>
              <w:rPr>
                <w:rFonts w:ascii="Times New Roman" w:hAnsi="Times New Roman" w:cs="Times New Roman"/>
              </w:rPr>
              <w:t>38</w:t>
            </w:r>
          </w:p>
        </w:tc>
      </w:tr>
      <w:bookmarkEnd w:id="3"/>
    </w:tbl>
    <w:p w14:paraId="42058EB1" w14:textId="77777777" w:rsidR="00633C2A" w:rsidRPr="00EF288A" w:rsidRDefault="00633C2A" w:rsidP="00434620">
      <w:pPr>
        <w:spacing w:after="0"/>
        <w:rPr>
          <w:rFonts w:ascii="Times New Roman" w:hAnsi="Times New Roman" w:cs="Times New Roman"/>
        </w:rPr>
      </w:pPr>
    </w:p>
    <w:bookmarkEnd w:id="1"/>
    <w:p w14:paraId="196C3601" w14:textId="142C49E9" w:rsidR="00B61CA0" w:rsidRDefault="00B61CA0" w:rsidP="00B61CA0">
      <w:pPr>
        <w:autoSpaceDE w:val="0"/>
        <w:autoSpaceDN w:val="0"/>
        <w:adjustRightInd w:val="0"/>
        <w:spacing w:after="0" w:line="240" w:lineRule="auto"/>
        <w:rPr>
          <w:rFonts w:ascii="Times New Roman" w:hAnsi="Times New Roman" w:cs="Times New Roman"/>
          <w:b/>
          <w:i/>
          <w:sz w:val="28"/>
          <w:szCs w:val="28"/>
        </w:rPr>
      </w:pPr>
      <w:r w:rsidRPr="005561F8">
        <w:rPr>
          <w:rFonts w:ascii="Times New Roman" w:hAnsi="Times New Roman" w:cs="Times New Roman"/>
          <w:b/>
          <w:i/>
          <w:sz w:val="28"/>
          <w:szCs w:val="28"/>
        </w:rPr>
        <w:lastRenderedPageBreak/>
        <w:t xml:space="preserve">Commentary </w:t>
      </w:r>
      <w:r w:rsidR="008257E3" w:rsidRPr="005561F8">
        <w:rPr>
          <w:rFonts w:ascii="Times New Roman" w:hAnsi="Times New Roman" w:cs="Times New Roman"/>
          <w:b/>
          <w:i/>
          <w:sz w:val="28"/>
          <w:szCs w:val="28"/>
        </w:rPr>
        <w:t xml:space="preserve">No. 4 </w:t>
      </w:r>
      <w:r w:rsidRPr="005561F8">
        <w:rPr>
          <w:rFonts w:ascii="Times New Roman" w:hAnsi="Times New Roman" w:cs="Times New Roman"/>
          <w:b/>
          <w:i/>
          <w:sz w:val="28"/>
          <w:szCs w:val="28"/>
        </w:rPr>
        <w:t>by Capstone</w:t>
      </w:r>
      <w:r>
        <w:rPr>
          <w:rFonts w:ascii="Times New Roman" w:hAnsi="Times New Roman" w:cs="Times New Roman"/>
          <w:b/>
          <w:i/>
          <w:sz w:val="28"/>
          <w:szCs w:val="28"/>
        </w:rPr>
        <w:t xml:space="preserve"> Associated Services, Ltd.</w:t>
      </w:r>
      <w:r w:rsidR="00884A74">
        <w:rPr>
          <w:rFonts w:ascii="Times New Roman" w:hAnsi="Times New Roman" w:cs="Times New Roman"/>
          <w:b/>
          <w:i/>
          <w:sz w:val="28"/>
          <w:szCs w:val="28"/>
        </w:rPr>
        <w:t xml:space="preserve"> </w:t>
      </w:r>
    </w:p>
    <w:p w14:paraId="676078A9" w14:textId="77777777" w:rsidR="00B61CA0" w:rsidRDefault="00B61CA0" w:rsidP="00B61CA0">
      <w:pPr>
        <w:spacing w:after="0" w:line="240" w:lineRule="auto"/>
        <w:rPr>
          <w:rFonts w:ascii="Times New Roman" w:eastAsia="Times New Roman" w:hAnsi="Times New Roman" w:cs="Times New Roman"/>
          <w:b/>
          <w:spacing w:val="-1"/>
          <w:sz w:val="28"/>
          <w:szCs w:val="28"/>
        </w:rPr>
      </w:pPr>
    </w:p>
    <w:p w14:paraId="7B01E35A" w14:textId="77777777" w:rsidR="00B61CA0" w:rsidRPr="003B26CE" w:rsidRDefault="00B61CA0" w:rsidP="00B61CA0">
      <w:pPr>
        <w:spacing w:after="0" w:line="240" w:lineRule="auto"/>
        <w:rPr>
          <w:rFonts w:ascii="Times New Roman" w:hAnsi="Times New Roman" w:cs="Times New Roman"/>
          <w:sz w:val="32"/>
          <w:szCs w:val="32"/>
        </w:rPr>
      </w:pPr>
      <w:r w:rsidRPr="003B26CE">
        <w:rPr>
          <w:rFonts w:ascii="Times New Roman" w:eastAsia="Times New Roman" w:hAnsi="Times New Roman" w:cs="Times New Roman"/>
          <w:b/>
          <w:spacing w:val="-1"/>
          <w:sz w:val="32"/>
          <w:szCs w:val="32"/>
        </w:rPr>
        <w:t>D</w:t>
      </w:r>
      <w:r w:rsidRPr="003B26CE">
        <w:rPr>
          <w:rFonts w:ascii="Times New Roman" w:eastAsia="Times New Roman" w:hAnsi="Times New Roman" w:cs="Times New Roman"/>
          <w:b/>
          <w:spacing w:val="1"/>
          <w:sz w:val="32"/>
          <w:szCs w:val="32"/>
        </w:rPr>
        <w:t>o</w:t>
      </w:r>
      <w:r w:rsidRPr="003B26CE">
        <w:rPr>
          <w:rFonts w:ascii="Times New Roman" w:eastAsia="Times New Roman" w:hAnsi="Times New Roman" w:cs="Times New Roman"/>
          <w:b/>
          <w:sz w:val="32"/>
          <w:szCs w:val="32"/>
        </w:rPr>
        <w:t>es</w:t>
      </w:r>
      <w:r w:rsidRPr="003B26CE">
        <w:rPr>
          <w:rFonts w:ascii="Times New Roman" w:eastAsia="Times New Roman" w:hAnsi="Times New Roman" w:cs="Times New Roman"/>
          <w:b/>
          <w:spacing w:val="1"/>
          <w:sz w:val="32"/>
          <w:szCs w:val="32"/>
        </w:rPr>
        <w:t xml:space="preserve"> </w:t>
      </w:r>
      <w:r w:rsidRPr="003B26CE">
        <w:rPr>
          <w:rFonts w:ascii="Times New Roman" w:eastAsia="Times New Roman" w:hAnsi="Times New Roman" w:cs="Times New Roman"/>
          <w:b/>
          <w:spacing w:val="-1"/>
          <w:sz w:val="32"/>
          <w:szCs w:val="32"/>
        </w:rPr>
        <w:t>Ca</w:t>
      </w:r>
      <w:r w:rsidRPr="003B26CE">
        <w:rPr>
          <w:rFonts w:ascii="Times New Roman" w:eastAsia="Times New Roman" w:hAnsi="Times New Roman" w:cs="Times New Roman"/>
          <w:b/>
          <w:sz w:val="32"/>
          <w:szCs w:val="32"/>
        </w:rPr>
        <w:t>pt</w:t>
      </w:r>
      <w:r w:rsidRPr="003B26CE">
        <w:rPr>
          <w:rFonts w:ascii="Times New Roman" w:eastAsia="Times New Roman" w:hAnsi="Times New Roman" w:cs="Times New Roman"/>
          <w:b/>
          <w:spacing w:val="-1"/>
          <w:sz w:val="32"/>
          <w:szCs w:val="32"/>
        </w:rPr>
        <w:t>i</w:t>
      </w:r>
      <w:r w:rsidRPr="003B26CE">
        <w:rPr>
          <w:rFonts w:ascii="Times New Roman" w:eastAsia="Times New Roman" w:hAnsi="Times New Roman" w:cs="Times New Roman"/>
          <w:b/>
          <w:spacing w:val="1"/>
          <w:sz w:val="32"/>
          <w:szCs w:val="32"/>
        </w:rPr>
        <w:t>v</w:t>
      </w:r>
      <w:r w:rsidRPr="003B26CE">
        <w:rPr>
          <w:rFonts w:ascii="Times New Roman" w:eastAsia="Times New Roman" w:hAnsi="Times New Roman" w:cs="Times New Roman"/>
          <w:b/>
          <w:sz w:val="32"/>
          <w:szCs w:val="32"/>
        </w:rPr>
        <w:t>e</w:t>
      </w:r>
      <w:r w:rsidRPr="003B26CE">
        <w:rPr>
          <w:rFonts w:ascii="Times New Roman" w:eastAsia="Times New Roman" w:hAnsi="Times New Roman" w:cs="Times New Roman"/>
          <w:b/>
          <w:spacing w:val="-2"/>
          <w:sz w:val="32"/>
          <w:szCs w:val="32"/>
        </w:rPr>
        <w:t xml:space="preserve"> </w:t>
      </w:r>
      <w:r w:rsidRPr="003B26CE">
        <w:rPr>
          <w:rFonts w:ascii="Times New Roman" w:eastAsia="Times New Roman" w:hAnsi="Times New Roman" w:cs="Times New Roman"/>
          <w:b/>
          <w:spacing w:val="1"/>
          <w:sz w:val="32"/>
          <w:szCs w:val="32"/>
        </w:rPr>
        <w:t>I</w:t>
      </w:r>
      <w:r w:rsidRPr="003B26CE">
        <w:rPr>
          <w:rFonts w:ascii="Times New Roman" w:eastAsia="Times New Roman" w:hAnsi="Times New Roman" w:cs="Times New Roman"/>
          <w:b/>
          <w:sz w:val="32"/>
          <w:szCs w:val="32"/>
        </w:rPr>
        <w:t>n</w:t>
      </w:r>
      <w:r w:rsidRPr="003B26CE">
        <w:rPr>
          <w:rFonts w:ascii="Times New Roman" w:eastAsia="Times New Roman" w:hAnsi="Times New Roman" w:cs="Times New Roman"/>
          <w:b/>
          <w:spacing w:val="1"/>
          <w:sz w:val="32"/>
          <w:szCs w:val="32"/>
        </w:rPr>
        <w:t>s</w:t>
      </w:r>
      <w:r w:rsidRPr="003B26CE">
        <w:rPr>
          <w:rFonts w:ascii="Times New Roman" w:eastAsia="Times New Roman" w:hAnsi="Times New Roman" w:cs="Times New Roman"/>
          <w:b/>
          <w:spacing w:val="-2"/>
          <w:sz w:val="32"/>
          <w:szCs w:val="32"/>
        </w:rPr>
        <w:t>u</w:t>
      </w:r>
      <w:r w:rsidRPr="003B26CE">
        <w:rPr>
          <w:rFonts w:ascii="Times New Roman" w:eastAsia="Times New Roman" w:hAnsi="Times New Roman" w:cs="Times New Roman"/>
          <w:b/>
          <w:sz w:val="32"/>
          <w:szCs w:val="32"/>
        </w:rPr>
        <w:t>r</w:t>
      </w:r>
      <w:r w:rsidRPr="003B26CE">
        <w:rPr>
          <w:rFonts w:ascii="Times New Roman" w:eastAsia="Times New Roman" w:hAnsi="Times New Roman" w:cs="Times New Roman"/>
          <w:b/>
          <w:spacing w:val="-1"/>
          <w:sz w:val="32"/>
          <w:szCs w:val="32"/>
        </w:rPr>
        <w:t>a</w:t>
      </w:r>
      <w:r w:rsidRPr="003B26CE">
        <w:rPr>
          <w:rFonts w:ascii="Times New Roman" w:eastAsia="Times New Roman" w:hAnsi="Times New Roman" w:cs="Times New Roman"/>
          <w:b/>
          <w:sz w:val="32"/>
          <w:szCs w:val="32"/>
        </w:rPr>
        <w:t>nce E</w:t>
      </w:r>
      <w:r w:rsidRPr="003B26CE">
        <w:rPr>
          <w:rFonts w:ascii="Times New Roman" w:eastAsia="Times New Roman" w:hAnsi="Times New Roman" w:cs="Times New Roman"/>
          <w:b/>
          <w:spacing w:val="-1"/>
          <w:sz w:val="32"/>
          <w:szCs w:val="32"/>
        </w:rPr>
        <w:t>x</w:t>
      </w:r>
      <w:r w:rsidRPr="003B26CE">
        <w:rPr>
          <w:rFonts w:ascii="Times New Roman" w:eastAsia="Times New Roman" w:hAnsi="Times New Roman" w:cs="Times New Roman"/>
          <w:b/>
          <w:spacing w:val="1"/>
          <w:sz w:val="32"/>
          <w:szCs w:val="32"/>
        </w:rPr>
        <w:t>i</w:t>
      </w:r>
      <w:r w:rsidRPr="003B26CE">
        <w:rPr>
          <w:rFonts w:ascii="Times New Roman" w:eastAsia="Times New Roman" w:hAnsi="Times New Roman" w:cs="Times New Roman"/>
          <w:b/>
          <w:spacing w:val="-1"/>
          <w:sz w:val="32"/>
          <w:szCs w:val="32"/>
        </w:rPr>
        <w:t>s</w:t>
      </w:r>
      <w:r w:rsidRPr="003B26CE">
        <w:rPr>
          <w:rFonts w:ascii="Times New Roman" w:eastAsia="Times New Roman" w:hAnsi="Times New Roman" w:cs="Times New Roman"/>
          <w:b/>
          <w:sz w:val="32"/>
          <w:szCs w:val="32"/>
        </w:rPr>
        <w:t xml:space="preserve">t </w:t>
      </w:r>
      <w:r w:rsidRPr="003B26CE">
        <w:rPr>
          <w:rFonts w:ascii="Times New Roman" w:eastAsia="Times New Roman" w:hAnsi="Times New Roman" w:cs="Times New Roman"/>
          <w:b/>
          <w:spacing w:val="-1"/>
          <w:sz w:val="32"/>
          <w:szCs w:val="32"/>
        </w:rPr>
        <w:t>A</w:t>
      </w:r>
      <w:r w:rsidRPr="003B26CE">
        <w:rPr>
          <w:rFonts w:ascii="Times New Roman" w:eastAsia="Times New Roman" w:hAnsi="Times New Roman" w:cs="Times New Roman"/>
          <w:b/>
          <w:sz w:val="32"/>
          <w:szCs w:val="32"/>
        </w:rPr>
        <w:t>fter the</w:t>
      </w:r>
      <w:r w:rsidRPr="003B26CE">
        <w:rPr>
          <w:rFonts w:ascii="Times New Roman" w:eastAsia="Times New Roman" w:hAnsi="Times New Roman" w:cs="Times New Roman"/>
          <w:b/>
          <w:spacing w:val="-1"/>
          <w:sz w:val="32"/>
          <w:szCs w:val="32"/>
        </w:rPr>
        <w:t xml:space="preserve"> </w:t>
      </w:r>
      <w:r w:rsidRPr="003B26CE">
        <w:rPr>
          <w:rFonts w:ascii="Times New Roman" w:eastAsia="Times New Roman" w:hAnsi="Times New Roman" w:cs="Times New Roman"/>
          <w:b/>
          <w:i/>
          <w:sz w:val="32"/>
          <w:szCs w:val="32"/>
        </w:rPr>
        <w:t>Re</w:t>
      </w:r>
      <w:r w:rsidRPr="003B26CE">
        <w:rPr>
          <w:rFonts w:ascii="Times New Roman" w:eastAsia="Times New Roman" w:hAnsi="Times New Roman" w:cs="Times New Roman"/>
          <w:b/>
          <w:i/>
          <w:spacing w:val="1"/>
          <w:sz w:val="32"/>
          <w:szCs w:val="32"/>
        </w:rPr>
        <w:t>s</w:t>
      </w:r>
      <w:r w:rsidRPr="003B26CE">
        <w:rPr>
          <w:rFonts w:ascii="Times New Roman" w:eastAsia="Times New Roman" w:hAnsi="Times New Roman" w:cs="Times New Roman"/>
          <w:b/>
          <w:i/>
          <w:spacing w:val="-2"/>
          <w:sz w:val="32"/>
          <w:szCs w:val="32"/>
        </w:rPr>
        <w:t>e</w:t>
      </w:r>
      <w:r w:rsidRPr="003B26CE">
        <w:rPr>
          <w:rFonts w:ascii="Times New Roman" w:eastAsia="Times New Roman" w:hAnsi="Times New Roman" w:cs="Times New Roman"/>
          <w:b/>
          <w:i/>
          <w:spacing w:val="1"/>
          <w:sz w:val="32"/>
          <w:szCs w:val="32"/>
        </w:rPr>
        <w:t>r</w:t>
      </w:r>
      <w:r w:rsidRPr="003B26CE">
        <w:rPr>
          <w:rFonts w:ascii="Times New Roman" w:eastAsia="Times New Roman" w:hAnsi="Times New Roman" w:cs="Times New Roman"/>
          <w:b/>
          <w:i/>
          <w:sz w:val="32"/>
          <w:szCs w:val="32"/>
        </w:rPr>
        <w:t>ve</w:t>
      </w:r>
      <w:r w:rsidRPr="003B26CE">
        <w:rPr>
          <w:rFonts w:ascii="Times New Roman" w:eastAsia="Times New Roman" w:hAnsi="Times New Roman" w:cs="Times New Roman"/>
          <w:b/>
          <w:i/>
          <w:spacing w:val="1"/>
          <w:sz w:val="32"/>
          <w:szCs w:val="32"/>
        </w:rPr>
        <w:t xml:space="preserve"> </w:t>
      </w:r>
      <w:r w:rsidRPr="003B26CE">
        <w:rPr>
          <w:rFonts w:ascii="Times New Roman" w:eastAsia="Times New Roman" w:hAnsi="Times New Roman" w:cs="Times New Roman"/>
          <w:b/>
          <w:spacing w:val="-1"/>
          <w:sz w:val="32"/>
          <w:szCs w:val="32"/>
        </w:rPr>
        <w:t>D</w:t>
      </w:r>
      <w:r w:rsidRPr="003B26CE">
        <w:rPr>
          <w:rFonts w:ascii="Times New Roman" w:eastAsia="Times New Roman" w:hAnsi="Times New Roman" w:cs="Times New Roman"/>
          <w:b/>
          <w:sz w:val="32"/>
          <w:szCs w:val="32"/>
        </w:rPr>
        <w:t>e</w:t>
      </w:r>
      <w:r w:rsidRPr="003B26CE">
        <w:rPr>
          <w:rFonts w:ascii="Times New Roman" w:eastAsia="Times New Roman" w:hAnsi="Times New Roman" w:cs="Times New Roman"/>
          <w:b/>
          <w:spacing w:val="-2"/>
          <w:sz w:val="32"/>
          <w:szCs w:val="32"/>
        </w:rPr>
        <w:t>c</w:t>
      </w:r>
      <w:r w:rsidRPr="003B26CE">
        <w:rPr>
          <w:rFonts w:ascii="Times New Roman" w:eastAsia="Times New Roman" w:hAnsi="Times New Roman" w:cs="Times New Roman"/>
          <w:b/>
          <w:spacing w:val="1"/>
          <w:sz w:val="32"/>
          <w:szCs w:val="32"/>
        </w:rPr>
        <w:t>i</w:t>
      </w:r>
      <w:r w:rsidRPr="003B26CE">
        <w:rPr>
          <w:rFonts w:ascii="Times New Roman" w:eastAsia="Times New Roman" w:hAnsi="Times New Roman" w:cs="Times New Roman"/>
          <w:b/>
          <w:spacing w:val="-1"/>
          <w:sz w:val="32"/>
          <w:szCs w:val="32"/>
        </w:rPr>
        <w:t>si</w:t>
      </w:r>
      <w:r w:rsidRPr="003B26CE">
        <w:rPr>
          <w:rFonts w:ascii="Times New Roman" w:eastAsia="Times New Roman" w:hAnsi="Times New Roman" w:cs="Times New Roman"/>
          <w:b/>
          <w:spacing w:val="1"/>
          <w:sz w:val="32"/>
          <w:szCs w:val="32"/>
        </w:rPr>
        <w:t>o</w:t>
      </w:r>
      <w:r w:rsidRPr="003B26CE">
        <w:rPr>
          <w:rFonts w:ascii="Times New Roman" w:eastAsia="Times New Roman" w:hAnsi="Times New Roman" w:cs="Times New Roman"/>
          <w:b/>
          <w:sz w:val="32"/>
          <w:szCs w:val="32"/>
        </w:rPr>
        <w:t>n?</w:t>
      </w:r>
    </w:p>
    <w:p w14:paraId="127BEC7C" w14:textId="77777777" w:rsidR="00B61CA0" w:rsidRDefault="00B61CA0" w:rsidP="00B61CA0">
      <w:pPr>
        <w:spacing w:after="0" w:line="240" w:lineRule="auto"/>
        <w:rPr>
          <w:rFonts w:ascii="Times New Roman" w:hAnsi="Times New Roman" w:cs="Times New Roman"/>
          <w:b/>
          <w:sz w:val="32"/>
          <w:szCs w:val="32"/>
        </w:rPr>
      </w:pPr>
    </w:p>
    <w:p w14:paraId="372BFD08" w14:textId="2A6C683A" w:rsidR="00B61CA0" w:rsidRPr="00383A50" w:rsidRDefault="00997043" w:rsidP="00B61CA0">
      <w:pPr>
        <w:spacing w:after="0" w:line="240" w:lineRule="auto"/>
        <w:rPr>
          <w:rFonts w:ascii="Times New Roman" w:hAnsi="Times New Roman" w:cs="Times New Roman"/>
          <w:b/>
          <w:sz w:val="28"/>
          <w:szCs w:val="28"/>
        </w:rPr>
      </w:pPr>
      <w:r w:rsidRPr="00997043">
        <w:rPr>
          <w:rFonts w:ascii="Times New Roman" w:hAnsi="Times New Roman" w:cs="Times New Roman"/>
          <w:b/>
          <w:sz w:val="28"/>
          <w:szCs w:val="28"/>
        </w:rPr>
        <w:t xml:space="preserve">The Tax Court’s Erroneous Application of </w:t>
      </w:r>
      <w:r w:rsidRPr="008D4FEF">
        <w:rPr>
          <w:rFonts w:ascii="Times New Roman" w:hAnsi="Times New Roman" w:cs="Times New Roman"/>
          <w:b/>
          <w:i/>
          <w:sz w:val="28"/>
          <w:szCs w:val="28"/>
        </w:rPr>
        <w:t>Avrahami</w:t>
      </w:r>
      <w:r w:rsidRPr="00997043">
        <w:rPr>
          <w:rFonts w:ascii="Times New Roman" w:hAnsi="Times New Roman" w:cs="Times New Roman"/>
          <w:b/>
          <w:sz w:val="28"/>
          <w:szCs w:val="28"/>
        </w:rPr>
        <w:t xml:space="preserve"> to </w:t>
      </w:r>
      <w:r w:rsidRPr="008D4FEF">
        <w:rPr>
          <w:rFonts w:ascii="Times New Roman" w:hAnsi="Times New Roman" w:cs="Times New Roman"/>
          <w:b/>
          <w:i/>
          <w:sz w:val="28"/>
          <w:szCs w:val="28"/>
        </w:rPr>
        <w:t>Reserve</w:t>
      </w:r>
    </w:p>
    <w:p w14:paraId="2D96E749" w14:textId="77777777" w:rsidR="00B61CA0" w:rsidRDefault="00B61CA0" w:rsidP="00B61CA0">
      <w:pPr>
        <w:autoSpaceDE w:val="0"/>
        <w:autoSpaceDN w:val="0"/>
        <w:adjustRightInd w:val="0"/>
        <w:spacing w:after="0" w:line="240" w:lineRule="auto"/>
        <w:rPr>
          <w:rFonts w:ascii="Times New Roman" w:hAnsi="Times New Roman" w:cs="Times New Roman"/>
        </w:rPr>
      </w:pPr>
    </w:p>
    <w:p w14:paraId="1133AB06" w14:textId="77777777" w:rsidR="00B61CA0" w:rsidRPr="0036725A" w:rsidRDefault="00B61CA0" w:rsidP="00B61CA0">
      <w:pPr>
        <w:spacing w:after="0" w:line="240" w:lineRule="auto"/>
        <w:rPr>
          <w:rFonts w:ascii="Times New Roman" w:hAnsi="Times New Roman" w:cs="Times New Roman"/>
          <w:sz w:val="24"/>
          <w:szCs w:val="24"/>
        </w:rPr>
      </w:pPr>
      <w:r w:rsidRPr="0036725A">
        <w:rPr>
          <w:rFonts w:ascii="Times New Roman" w:eastAsia="Times New Roman" w:hAnsi="Times New Roman" w:cs="Times New Roman"/>
          <w:i/>
          <w:sz w:val="24"/>
          <w:szCs w:val="24"/>
        </w:rPr>
        <w:t>R</w:t>
      </w:r>
      <w:r w:rsidRPr="0036725A">
        <w:rPr>
          <w:rFonts w:ascii="Times New Roman" w:eastAsia="Times New Roman" w:hAnsi="Times New Roman" w:cs="Times New Roman"/>
          <w:i/>
          <w:spacing w:val="-1"/>
          <w:sz w:val="24"/>
          <w:szCs w:val="24"/>
        </w:rPr>
        <w:t>e</w:t>
      </w:r>
      <w:r w:rsidRPr="0036725A">
        <w:rPr>
          <w:rFonts w:ascii="Times New Roman" w:eastAsia="Times New Roman" w:hAnsi="Times New Roman" w:cs="Times New Roman"/>
          <w:i/>
          <w:sz w:val="24"/>
          <w:szCs w:val="24"/>
        </w:rPr>
        <w:t>s</w:t>
      </w:r>
      <w:r w:rsidRPr="0036725A">
        <w:rPr>
          <w:rFonts w:ascii="Times New Roman" w:eastAsia="Times New Roman" w:hAnsi="Times New Roman" w:cs="Times New Roman"/>
          <w:i/>
          <w:spacing w:val="-1"/>
          <w:sz w:val="24"/>
          <w:szCs w:val="24"/>
        </w:rPr>
        <w:t>e</w:t>
      </w:r>
      <w:r w:rsidRPr="0036725A">
        <w:rPr>
          <w:rFonts w:ascii="Times New Roman" w:eastAsia="Times New Roman" w:hAnsi="Times New Roman" w:cs="Times New Roman"/>
          <w:i/>
          <w:sz w:val="24"/>
          <w:szCs w:val="24"/>
        </w:rPr>
        <w:t>r</w:t>
      </w:r>
      <w:r w:rsidRPr="0036725A">
        <w:rPr>
          <w:rFonts w:ascii="Times New Roman" w:eastAsia="Times New Roman" w:hAnsi="Times New Roman" w:cs="Times New Roman"/>
          <w:i/>
          <w:spacing w:val="-1"/>
          <w:sz w:val="24"/>
          <w:szCs w:val="24"/>
        </w:rPr>
        <w:t>v</w:t>
      </w:r>
      <w:r w:rsidRPr="0036725A">
        <w:rPr>
          <w:rFonts w:ascii="Times New Roman" w:eastAsia="Times New Roman" w:hAnsi="Times New Roman" w:cs="Times New Roman"/>
          <w:i/>
          <w:sz w:val="24"/>
          <w:szCs w:val="24"/>
        </w:rPr>
        <w:t>e</w:t>
      </w:r>
      <w:r w:rsidRPr="0036725A">
        <w:rPr>
          <w:rFonts w:ascii="Times New Roman" w:eastAsia="Times New Roman" w:hAnsi="Times New Roman" w:cs="Times New Roman"/>
          <w:i/>
          <w:spacing w:val="7"/>
          <w:sz w:val="24"/>
          <w:szCs w:val="24"/>
        </w:rPr>
        <w:t xml:space="preserve"> </w:t>
      </w:r>
      <w:r w:rsidRPr="0036725A">
        <w:rPr>
          <w:rFonts w:ascii="Times New Roman" w:eastAsia="Times New Roman" w:hAnsi="Times New Roman" w:cs="Times New Roman"/>
          <w:i/>
          <w:sz w:val="24"/>
          <w:szCs w:val="24"/>
        </w:rPr>
        <w:t>M</w:t>
      </w:r>
      <w:r w:rsidRPr="0036725A">
        <w:rPr>
          <w:rFonts w:ascii="Times New Roman" w:eastAsia="Times New Roman" w:hAnsi="Times New Roman" w:cs="Times New Roman"/>
          <w:i/>
          <w:spacing w:val="1"/>
          <w:sz w:val="24"/>
          <w:szCs w:val="24"/>
        </w:rPr>
        <w:t>e</w:t>
      </w:r>
      <w:r w:rsidRPr="0036725A">
        <w:rPr>
          <w:rFonts w:ascii="Times New Roman" w:eastAsia="Times New Roman" w:hAnsi="Times New Roman" w:cs="Times New Roman"/>
          <w:i/>
          <w:spacing w:val="-1"/>
          <w:sz w:val="24"/>
          <w:szCs w:val="24"/>
        </w:rPr>
        <w:t>c</w:t>
      </w:r>
      <w:r w:rsidRPr="0036725A">
        <w:rPr>
          <w:rFonts w:ascii="Times New Roman" w:eastAsia="Times New Roman" w:hAnsi="Times New Roman" w:cs="Times New Roman"/>
          <w:i/>
          <w:sz w:val="24"/>
          <w:szCs w:val="24"/>
        </w:rPr>
        <w:t>hani</w:t>
      </w:r>
      <w:r w:rsidRPr="0036725A">
        <w:rPr>
          <w:rFonts w:ascii="Times New Roman" w:eastAsia="Times New Roman" w:hAnsi="Times New Roman" w:cs="Times New Roman"/>
          <w:i/>
          <w:spacing w:val="-1"/>
          <w:sz w:val="24"/>
          <w:szCs w:val="24"/>
        </w:rPr>
        <w:t>c</w:t>
      </w:r>
      <w:r w:rsidRPr="0036725A">
        <w:rPr>
          <w:rFonts w:ascii="Times New Roman" w:eastAsia="Times New Roman" w:hAnsi="Times New Roman" w:cs="Times New Roman"/>
          <w:i/>
          <w:sz w:val="24"/>
          <w:szCs w:val="24"/>
        </w:rPr>
        <w:t xml:space="preserve">al </w:t>
      </w:r>
      <w:r w:rsidRPr="0036725A">
        <w:rPr>
          <w:rFonts w:ascii="Times New Roman" w:eastAsia="Times New Roman" w:hAnsi="Times New Roman" w:cs="Times New Roman"/>
          <w:i/>
          <w:spacing w:val="1"/>
          <w:sz w:val="24"/>
          <w:szCs w:val="24"/>
        </w:rPr>
        <w:t>C</w:t>
      </w:r>
      <w:r w:rsidRPr="0036725A">
        <w:rPr>
          <w:rFonts w:ascii="Times New Roman" w:eastAsia="Times New Roman" w:hAnsi="Times New Roman" w:cs="Times New Roman"/>
          <w:i/>
          <w:sz w:val="24"/>
          <w:szCs w:val="24"/>
        </w:rPr>
        <w:t>orp.</w:t>
      </w:r>
      <w:r w:rsidRPr="0036725A">
        <w:rPr>
          <w:rFonts w:ascii="Times New Roman" w:eastAsia="Times New Roman" w:hAnsi="Times New Roman" w:cs="Times New Roman"/>
          <w:i/>
          <w:spacing w:val="2"/>
          <w:sz w:val="24"/>
          <w:szCs w:val="24"/>
        </w:rPr>
        <w:t xml:space="preserve"> </w:t>
      </w:r>
      <w:r w:rsidRPr="0036725A">
        <w:rPr>
          <w:rFonts w:ascii="Times New Roman" w:eastAsia="Times New Roman" w:hAnsi="Times New Roman" w:cs="Times New Roman"/>
          <w:i/>
          <w:sz w:val="24"/>
          <w:szCs w:val="24"/>
        </w:rPr>
        <w:t>f.</w:t>
      </w:r>
      <w:r w:rsidRPr="0036725A">
        <w:rPr>
          <w:rFonts w:ascii="Times New Roman" w:eastAsia="Times New Roman" w:hAnsi="Times New Roman" w:cs="Times New Roman"/>
          <w:i/>
          <w:spacing w:val="-1"/>
          <w:sz w:val="24"/>
          <w:szCs w:val="24"/>
        </w:rPr>
        <w:t>k</w:t>
      </w:r>
      <w:r w:rsidRPr="0036725A">
        <w:rPr>
          <w:rFonts w:ascii="Times New Roman" w:eastAsia="Times New Roman" w:hAnsi="Times New Roman" w:cs="Times New Roman"/>
          <w:i/>
          <w:sz w:val="24"/>
          <w:szCs w:val="24"/>
        </w:rPr>
        <w:t>.a.</w:t>
      </w:r>
      <w:r w:rsidRPr="0036725A">
        <w:rPr>
          <w:rFonts w:ascii="Times New Roman" w:eastAsia="Times New Roman" w:hAnsi="Times New Roman" w:cs="Times New Roman"/>
          <w:i/>
          <w:spacing w:val="3"/>
          <w:sz w:val="24"/>
          <w:szCs w:val="24"/>
        </w:rPr>
        <w:t xml:space="preserve"> </w:t>
      </w:r>
      <w:r w:rsidRPr="0036725A">
        <w:rPr>
          <w:rFonts w:ascii="Times New Roman" w:eastAsia="Times New Roman" w:hAnsi="Times New Roman" w:cs="Times New Roman"/>
          <w:i/>
          <w:sz w:val="24"/>
          <w:szCs w:val="24"/>
        </w:rPr>
        <w:t>R</w:t>
      </w:r>
      <w:r w:rsidRPr="0036725A">
        <w:rPr>
          <w:rFonts w:ascii="Times New Roman" w:eastAsia="Times New Roman" w:hAnsi="Times New Roman" w:cs="Times New Roman"/>
          <w:i/>
          <w:spacing w:val="-1"/>
          <w:sz w:val="24"/>
          <w:szCs w:val="24"/>
        </w:rPr>
        <w:t>e</w:t>
      </w:r>
      <w:r w:rsidRPr="0036725A">
        <w:rPr>
          <w:rFonts w:ascii="Times New Roman" w:eastAsia="Times New Roman" w:hAnsi="Times New Roman" w:cs="Times New Roman"/>
          <w:i/>
          <w:sz w:val="24"/>
          <w:szCs w:val="24"/>
        </w:rPr>
        <w:t>s</w:t>
      </w:r>
      <w:r w:rsidRPr="0036725A">
        <w:rPr>
          <w:rFonts w:ascii="Times New Roman" w:eastAsia="Times New Roman" w:hAnsi="Times New Roman" w:cs="Times New Roman"/>
          <w:i/>
          <w:spacing w:val="-1"/>
          <w:sz w:val="24"/>
          <w:szCs w:val="24"/>
        </w:rPr>
        <w:t>e</w:t>
      </w:r>
      <w:r w:rsidRPr="0036725A">
        <w:rPr>
          <w:rFonts w:ascii="Times New Roman" w:eastAsia="Times New Roman" w:hAnsi="Times New Roman" w:cs="Times New Roman"/>
          <w:i/>
          <w:sz w:val="24"/>
          <w:szCs w:val="24"/>
        </w:rPr>
        <w:t>r</w:t>
      </w:r>
      <w:r w:rsidRPr="0036725A">
        <w:rPr>
          <w:rFonts w:ascii="Times New Roman" w:eastAsia="Times New Roman" w:hAnsi="Times New Roman" w:cs="Times New Roman"/>
          <w:i/>
          <w:spacing w:val="1"/>
          <w:sz w:val="24"/>
          <w:szCs w:val="24"/>
        </w:rPr>
        <w:t>v</w:t>
      </w:r>
      <w:r w:rsidRPr="0036725A">
        <w:rPr>
          <w:rFonts w:ascii="Times New Roman" w:eastAsia="Times New Roman" w:hAnsi="Times New Roman" w:cs="Times New Roman"/>
          <w:i/>
          <w:sz w:val="24"/>
          <w:szCs w:val="24"/>
        </w:rPr>
        <w:t>e</w:t>
      </w:r>
      <w:r w:rsidRPr="0036725A">
        <w:rPr>
          <w:rFonts w:ascii="Times New Roman" w:eastAsia="Times New Roman" w:hAnsi="Times New Roman" w:cs="Times New Roman"/>
          <w:i/>
          <w:spacing w:val="5"/>
          <w:sz w:val="24"/>
          <w:szCs w:val="24"/>
        </w:rPr>
        <w:t xml:space="preserve"> </w:t>
      </w:r>
      <w:r w:rsidRPr="0036725A">
        <w:rPr>
          <w:rFonts w:ascii="Times New Roman" w:eastAsia="Times New Roman" w:hAnsi="Times New Roman" w:cs="Times New Roman"/>
          <w:i/>
          <w:spacing w:val="1"/>
          <w:sz w:val="24"/>
          <w:szCs w:val="24"/>
        </w:rPr>
        <w:t>C</w:t>
      </w:r>
      <w:r w:rsidRPr="0036725A">
        <w:rPr>
          <w:rFonts w:ascii="Times New Roman" w:eastAsia="Times New Roman" w:hAnsi="Times New Roman" w:cs="Times New Roman"/>
          <w:i/>
          <w:sz w:val="24"/>
          <w:szCs w:val="24"/>
        </w:rPr>
        <w:t xml:space="preserve">asualty </w:t>
      </w:r>
      <w:r w:rsidRPr="0036725A">
        <w:rPr>
          <w:rFonts w:ascii="Times New Roman" w:eastAsia="Times New Roman" w:hAnsi="Times New Roman" w:cs="Times New Roman"/>
          <w:i/>
          <w:spacing w:val="1"/>
          <w:sz w:val="24"/>
          <w:szCs w:val="24"/>
        </w:rPr>
        <w:t>C</w:t>
      </w:r>
      <w:r w:rsidRPr="0036725A">
        <w:rPr>
          <w:rFonts w:ascii="Times New Roman" w:eastAsia="Times New Roman" w:hAnsi="Times New Roman" w:cs="Times New Roman"/>
          <w:i/>
          <w:sz w:val="24"/>
          <w:szCs w:val="24"/>
        </w:rPr>
        <w:t>orp.</w:t>
      </w:r>
      <w:r w:rsidRPr="0036725A">
        <w:rPr>
          <w:rFonts w:ascii="Times New Roman" w:eastAsia="Times New Roman" w:hAnsi="Times New Roman" w:cs="Times New Roman"/>
          <w:i/>
          <w:spacing w:val="2"/>
          <w:sz w:val="24"/>
          <w:szCs w:val="24"/>
        </w:rPr>
        <w:t xml:space="preserve"> </w:t>
      </w:r>
      <w:r w:rsidRPr="0036725A">
        <w:rPr>
          <w:rFonts w:ascii="Times New Roman" w:eastAsia="Times New Roman" w:hAnsi="Times New Roman" w:cs="Times New Roman"/>
          <w:i/>
          <w:spacing w:val="-1"/>
          <w:sz w:val="24"/>
          <w:szCs w:val="24"/>
        </w:rPr>
        <w:t>v</w:t>
      </w:r>
      <w:r w:rsidRPr="0036725A">
        <w:rPr>
          <w:rFonts w:ascii="Times New Roman" w:eastAsia="Times New Roman" w:hAnsi="Times New Roman" w:cs="Times New Roman"/>
          <w:i/>
          <w:sz w:val="24"/>
          <w:szCs w:val="24"/>
        </w:rPr>
        <w:t>.</w:t>
      </w:r>
      <w:r w:rsidRPr="0036725A">
        <w:rPr>
          <w:rFonts w:ascii="Times New Roman" w:eastAsia="Times New Roman" w:hAnsi="Times New Roman" w:cs="Times New Roman"/>
          <w:i/>
          <w:spacing w:val="7"/>
          <w:sz w:val="24"/>
          <w:szCs w:val="24"/>
        </w:rPr>
        <w:t xml:space="preserve"> </w:t>
      </w:r>
      <w:r w:rsidRPr="0036725A">
        <w:rPr>
          <w:rFonts w:ascii="Times New Roman" w:eastAsia="Times New Roman" w:hAnsi="Times New Roman" w:cs="Times New Roman"/>
          <w:i/>
          <w:spacing w:val="1"/>
          <w:sz w:val="24"/>
          <w:szCs w:val="24"/>
        </w:rPr>
        <w:t>C</w:t>
      </w:r>
      <w:r w:rsidRPr="0036725A">
        <w:rPr>
          <w:rFonts w:ascii="Times New Roman" w:eastAsia="Times New Roman" w:hAnsi="Times New Roman" w:cs="Times New Roman"/>
          <w:i/>
          <w:sz w:val="24"/>
          <w:szCs w:val="24"/>
        </w:rPr>
        <w:t>ommission</w:t>
      </w:r>
      <w:r w:rsidRPr="0036725A">
        <w:rPr>
          <w:rFonts w:ascii="Times New Roman" w:eastAsia="Times New Roman" w:hAnsi="Times New Roman" w:cs="Times New Roman"/>
          <w:i/>
          <w:spacing w:val="-1"/>
          <w:sz w:val="24"/>
          <w:szCs w:val="24"/>
        </w:rPr>
        <w:t>e</w:t>
      </w:r>
      <w:r w:rsidRPr="0036725A">
        <w:rPr>
          <w:rFonts w:ascii="Times New Roman" w:eastAsia="Times New Roman" w:hAnsi="Times New Roman" w:cs="Times New Roman"/>
          <w:i/>
          <w:sz w:val="24"/>
          <w:szCs w:val="24"/>
        </w:rPr>
        <w:t>r</w:t>
      </w:r>
      <w:r w:rsidRPr="0036725A">
        <w:rPr>
          <w:rFonts w:ascii="Times New Roman" w:eastAsia="Times New Roman" w:hAnsi="Times New Roman" w:cs="Times New Roman"/>
          <w:i/>
          <w:spacing w:val="3"/>
          <w:sz w:val="24"/>
          <w:szCs w:val="24"/>
        </w:rPr>
        <w:t xml:space="preserve"> </w:t>
      </w:r>
      <w:r w:rsidRPr="0036725A">
        <w:rPr>
          <w:rFonts w:ascii="Times New Roman" w:eastAsia="Times New Roman" w:hAnsi="Times New Roman" w:cs="Times New Roman"/>
          <w:i/>
          <w:sz w:val="24"/>
          <w:szCs w:val="24"/>
        </w:rPr>
        <w:t>of</w:t>
      </w:r>
      <w:r w:rsidRPr="0036725A">
        <w:rPr>
          <w:rFonts w:ascii="Times New Roman" w:eastAsia="Times New Roman" w:hAnsi="Times New Roman" w:cs="Times New Roman"/>
          <w:i/>
          <w:spacing w:val="6"/>
          <w:sz w:val="24"/>
          <w:szCs w:val="24"/>
        </w:rPr>
        <w:t xml:space="preserve"> </w:t>
      </w:r>
      <w:r w:rsidRPr="0036725A">
        <w:rPr>
          <w:rFonts w:ascii="Times New Roman" w:eastAsia="Times New Roman" w:hAnsi="Times New Roman" w:cs="Times New Roman"/>
          <w:i/>
          <w:sz w:val="24"/>
          <w:szCs w:val="24"/>
        </w:rPr>
        <w:t>Int</w:t>
      </w:r>
      <w:r w:rsidRPr="0036725A">
        <w:rPr>
          <w:rFonts w:ascii="Times New Roman" w:eastAsia="Times New Roman" w:hAnsi="Times New Roman" w:cs="Times New Roman"/>
          <w:i/>
          <w:spacing w:val="-1"/>
          <w:sz w:val="24"/>
          <w:szCs w:val="24"/>
        </w:rPr>
        <w:t>e</w:t>
      </w:r>
      <w:r w:rsidRPr="0036725A">
        <w:rPr>
          <w:rFonts w:ascii="Times New Roman" w:eastAsia="Times New Roman" w:hAnsi="Times New Roman" w:cs="Times New Roman"/>
          <w:i/>
          <w:sz w:val="24"/>
          <w:szCs w:val="24"/>
        </w:rPr>
        <w:t>rnal</w:t>
      </w:r>
      <w:r w:rsidRPr="0036725A">
        <w:rPr>
          <w:rFonts w:ascii="Times New Roman" w:eastAsia="Times New Roman" w:hAnsi="Times New Roman" w:cs="Times New Roman"/>
          <w:i/>
          <w:spacing w:val="1"/>
          <w:sz w:val="24"/>
          <w:szCs w:val="24"/>
        </w:rPr>
        <w:t xml:space="preserve"> </w:t>
      </w:r>
      <w:r w:rsidRPr="0036725A">
        <w:rPr>
          <w:rFonts w:ascii="Times New Roman" w:eastAsia="Times New Roman" w:hAnsi="Times New Roman" w:cs="Times New Roman"/>
          <w:i/>
          <w:sz w:val="24"/>
          <w:szCs w:val="24"/>
        </w:rPr>
        <w:t>R</w:t>
      </w:r>
      <w:r w:rsidRPr="0036725A">
        <w:rPr>
          <w:rFonts w:ascii="Times New Roman" w:eastAsia="Times New Roman" w:hAnsi="Times New Roman" w:cs="Times New Roman"/>
          <w:i/>
          <w:spacing w:val="-1"/>
          <w:sz w:val="24"/>
          <w:szCs w:val="24"/>
        </w:rPr>
        <w:t>eve</w:t>
      </w:r>
      <w:r w:rsidRPr="0036725A">
        <w:rPr>
          <w:rFonts w:ascii="Times New Roman" w:eastAsia="Times New Roman" w:hAnsi="Times New Roman" w:cs="Times New Roman"/>
          <w:i/>
          <w:sz w:val="24"/>
          <w:szCs w:val="24"/>
        </w:rPr>
        <w:t xml:space="preserve">nue </w:t>
      </w:r>
      <w:r w:rsidRPr="0036725A">
        <w:rPr>
          <w:rFonts w:ascii="Times New Roman" w:eastAsia="Times New Roman" w:hAnsi="Times New Roman" w:cs="Times New Roman"/>
          <w:i/>
          <w:spacing w:val="-3"/>
          <w:sz w:val="24"/>
          <w:szCs w:val="24"/>
        </w:rPr>
        <w:t>(</w:t>
      </w:r>
      <w:r w:rsidRPr="0036725A">
        <w:rPr>
          <w:rFonts w:ascii="Times New Roman" w:eastAsia="Times New Roman" w:hAnsi="Times New Roman" w:cs="Times New Roman"/>
          <w:i/>
          <w:spacing w:val="1"/>
          <w:sz w:val="24"/>
          <w:szCs w:val="24"/>
        </w:rPr>
        <w:t>“</w:t>
      </w:r>
      <w:r w:rsidRPr="0036725A">
        <w:rPr>
          <w:rFonts w:ascii="Times New Roman" w:eastAsia="Times New Roman" w:hAnsi="Times New Roman" w:cs="Times New Roman"/>
          <w:i/>
          <w:sz w:val="24"/>
          <w:szCs w:val="24"/>
        </w:rPr>
        <w:t>R</w:t>
      </w:r>
      <w:r w:rsidRPr="0036725A">
        <w:rPr>
          <w:rFonts w:ascii="Times New Roman" w:eastAsia="Times New Roman" w:hAnsi="Times New Roman" w:cs="Times New Roman"/>
          <w:i/>
          <w:spacing w:val="-1"/>
          <w:sz w:val="24"/>
          <w:szCs w:val="24"/>
        </w:rPr>
        <w:t>e</w:t>
      </w:r>
      <w:r w:rsidRPr="0036725A">
        <w:rPr>
          <w:rFonts w:ascii="Times New Roman" w:eastAsia="Times New Roman" w:hAnsi="Times New Roman" w:cs="Times New Roman"/>
          <w:i/>
          <w:spacing w:val="3"/>
          <w:sz w:val="24"/>
          <w:szCs w:val="24"/>
        </w:rPr>
        <w:t>s</w:t>
      </w:r>
      <w:r w:rsidRPr="0036725A">
        <w:rPr>
          <w:rFonts w:ascii="Times New Roman" w:eastAsia="Times New Roman" w:hAnsi="Times New Roman" w:cs="Times New Roman"/>
          <w:i/>
          <w:spacing w:val="-1"/>
          <w:sz w:val="24"/>
          <w:szCs w:val="24"/>
        </w:rPr>
        <w:t>e</w:t>
      </w:r>
      <w:r w:rsidRPr="0036725A">
        <w:rPr>
          <w:rFonts w:ascii="Times New Roman" w:eastAsia="Times New Roman" w:hAnsi="Times New Roman" w:cs="Times New Roman"/>
          <w:i/>
          <w:sz w:val="24"/>
          <w:szCs w:val="24"/>
        </w:rPr>
        <w:t>r</w:t>
      </w:r>
      <w:r w:rsidRPr="0036725A">
        <w:rPr>
          <w:rFonts w:ascii="Times New Roman" w:eastAsia="Times New Roman" w:hAnsi="Times New Roman" w:cs="Times New Roman"/>
          <w:i/>
          <w:spacing w:val="-1"/>
          <w:sz w:val="24"/>
          <w:szCs w:val="24"/>
        </w:rPr>
        <w:t>v</w:t>
      </w:r>
      <w:r w:rsidRPr="0036725A">
        <w:rPr>
          <w:rFonts w:ascii="Times New Roman" w:eastAsia="Times New Roman" w:hAnsi="Times New Roman" w:cs="Times New Roman"/>
          <w:i/>
          <w:sz w:val="24"/>
          <w:szCs w:val="24"/>
        </w:rPr>
        <w:t>e</w:t>
      </w:r>
      <w:r w:rsidRPr="0036725A">
        <w:rPr>
          <w:rFonts w:ascii="Times New Roman" w:eastAsia="Times New Roman" w:hAnsi="Times New Roman" w:cs="Times New Roman"/>
          <w:i/>
          <w:spacing w:val="4"/>
          <w:sz w:val="24"/>
          <w:szCs w:val="24"/>
        </w:rPr>
        <w:t>”</w:t>
      </w:r>
      <w:r w:rsidRPr="0036725A">
        <w:rPr>
          <w:rFonts w:ascii="Times New Roman" w:eastAsia="Times New Roman" w:hAnsi="Times New Roman" w:cs="Times New Roman"/>
          <w:i/>
          <w:sz w:val="24"/>
          <w:szCs w:val="24"/>
        </w:rPr>
        <w:t>)</w:t>
      </w:r>
      <w:r w:rsidRPr="0036725A">
        <w:rPr>
          <w:rFonts w:ascii="Times New Roman" w:eastAsia="Times New Roman" w:hAnsi="Times New Roman" w:cs="Times New Roman"/>
          <w:i/>
          <w:spacing w:val="-4"/>
          <w:sz w:val="24"/>
          <w:szCs w:val="24"/>
        </w:rPr>
        <w:t xml:space="preserve"> </w:t>
      </w:r>
      <w:r w:rsidRPr="0036725A">
        <w:rPr>
          <w:rFonts w:ascii="Times New Roman" w:eastAsia="Times New Roman" w:hAnsi="Times New Roman" w:cs="Times New Roman"/>
          <w:spacing w:val="2"/>
          <w:sz w:val="24"/>
          <w:szCs w:val="24"/>
        </w:rPr>
        <w:t>w</w:t>
      </w:r>
      <w:r w:rsidRPr="0036725A">
        <w:rPr>
          <w:rFonts w:ascii="Times New Roman" w:eastAsia="Times New Roman" w:hAnsi="Times New Roman" w:cs="Times New Roman"/>
          <w:spacing w:val="-1"/>
          <w:sz w:val="24"/>
          <w:szCs w:val="24"/>
        </w:rPr>
        <w:t>a</w:t>
      </w:r>
      <w:r w:rsidRPr="0036725A">
        <w:rPr>
          <w:rFonts w:ascii="Times New Roman" w:eastAsia="Times New Roman" w:hAnsi="Times New Roman" w:cs="Times New Roman"/>
          <w:sz w:val="24"/>
          <w:szCs w:val="24"/>
        </w:rPr>
        <w:t>s</w:t>
      </w:r>
      <w:r w:rsidRPr="0036725A">
        <w:rPr>
          <w:rFonts w:ascii="Times New Roman" w:eastAsia="Times New Roman" w:hAnsi="Times New Roman" w:cs="Times New Roman"/>
          <w:spacing w:val="2"/>
          <w:sz w:val="24"/>
          <w:szCs w:val="24"/>
        </w:rPr>
        <w:t xml:space="preserve"> </w:t>
      </w:r>
      <w:r w:rsidRPr="0036725A">
        <w:rPr>
          <w:rFonts w:ascii="Times New Roman" w:eastAsia="Times New Roman" w:hAnsi="Times New Roman" w:cs="Times New Roman"/>
          <w:sz w:val="24"/>
          <w:szCs w:val="24"/>
        </w:rPr>
        <w:t>d</w:t>
      </w:r>
      <w:r w:rsidRPr="0036725A">
        <w:rPr>
          <w:rFonts w:ascii="Times New Roman" w:eastAsia="Times New Roman" w:hAnsi="Times New Roman" w:cs="Times New Roman"/>
          <w:spacing w:val="-1"/>
          <w:sz w:val="24"/>
          <w:szCs w:val="24"/>
        </w:rPr>
        <w:t>ec</w:t>
      </w:r>
      <w:r w:rsidRPr="0036725A">
        <w:rPr>
          <w:rFonts w:ascii="Times New Roman" w:eastAsia="Times New Roman" w:hAnsi="Times New Roman" w:cs="Times New Roman"/>
          <w:sz w:val="24"/>
          <w:szCs w:val="24"/>
        </w:rPr>
        <w:t>id</w:t>
      </w:r>
      <w:r w:rsidRPr="0036725A">
        <w:rPr>
          <w:rFonts w:ascii="Times New Roman" w:eastAsia="Times New Roman" w:hAnsi="Times New Roman" w:cs="Times New Roman"/>
          <w:spacing w:val="-1"/>
          <w:sz w:val="24"/>
          <w:szCs w:val="24"/>
        </w:rPr>
        <w:t>e</w:t>
      </w:r>
      <w:r w:rsidRPr="0036725A">
        <w:rPr>
          <w:rFonts w:ascii="Times New Roman" w:eastAsia="Times New Roman" w:hAnsi="Times New Roman" w:cs="Times New Roman"/>
          <w:sz w:val="24"/>
          <w:szCs w:val="24"/>
        </w:rPr>
        <w:t>d</w:t>
      </w:r>
      <w:r w:rsidRPr="0036725A">
        <w:rPr>
          <w:rFonts w:ascii="Times New Roman" w:eastAsia="Times New Roman" w:hAnsi="Times New Roman" w:cs="Times New Roman"/>
          <w:spacing w:val="2"/>
          <w:sz w:val="24"/>
          <w:szCs w:val="24"/>
        </w:rPr>
        <w:t xml:space="preserve"> b</w:t>
      </w:r>
      <w:r w:rsidRPr="0036725A">
        <w:rPr>
          <w:rFonts w:ascii="Times New Roman" w:eastAsia="Times New Roman" w:hAnsi="Times New Roman" w:cs="Times New Roman"/>
          <w:sz w:val="24"/>
          <w:szCs w:val="24"/>
        </w:rPr>
        <w:t>y</w:t>
      </w:r>
      <w:r w:rsidRPr="0036725A">
        <w:rPr>
          <w:rFonts w:ascii="Times New Roman" w:eastAsia="Times New Roman" w:hAnsi="Times New Roman" w:cs="Times New Roman"/>
          <w:spacing w:val="-4"/>
          <w:sz w:val="24"/>
          <w:szCs w:val="24"/>
        </w:rPr>
        <w:t xml:space="preserve"> </w:t>
      </w:r>
      <w:r w:rsidRPr="0036725A">
        <w:rPr>
          <w:rFonts w:ascii="Times New Roman" w:eastAsia="Times New Roman" w:hAnsi="Times New Roman" w:cs="Times New Roman"/>
          <w:sz w:val="24"/>
          <w:szCs w:val="24"/>
        </w:rPr>
        <w:t>t</w:t>
      </w:r>
      <w:r w:rsidRPr="0036725A">
        <w:rPr>
          <w:rFonts w:ascii="Times New Roman" w:eastAsia="Times New Roman" w:hAnsi="Times New Roman" w:cs="Times New Roman"/>
          <w:spacing w:val="2"/>
          <w:sz w:val="24"/>
          <w:szCs w:val="24"/>
        </w:rPr>
        <w:t>h</w:t>
      </w:r>
      <w:r w:rsidRPr="0036725A">
        <w:rPr>
          <w:rFonts w:ascii="Times New Roman" w:eastAsia="Times New Roman" w:hAnsi="Times New Roman" w:cs="Times New Roman"/>
          <w:sz w:val="24"/>
          <w:szCs w:val="24"/>
        </w:rPr>
        <w:t>e</w:t>
      </w:r>
      <w:r w:rsidRPr="0036725A">
        <w:rPr>
          <w:rFonts w:ascii="Times New Roman" w:eastAsia="Times New Roman" w:hAnsi="Times New Roman" w:cs="Times New Roman"/>
          <w:spacing w:val="3"/>
          <w:sz w:val="24"/>
          <w:szCs w:val="24"/>
        </w:rPr>
        <w:t xml:space="preserve"> </w:t>
      </w:r>
      <w:r w:rsidRPr="0036725A">
        <w:rPr>
          <w:rFonts w:ascii="Times New Roman" w:eastAsia="Times New Roman" w:hAnsi="Times New Roman" w:cs="Times New Roman"/>
          <w:sz w:val="24"/>
          <w:szCs w:val="24"/>
        </w:rPr>
        <w:t>Unit</w:t>
      </w:r>
      <w:r w:rsidRPr="0036725A">
        <w:rPr>
          <w:rFonts w:ascii="Times New Roman" w:eastAsia="Times New Roman" w:hAnsi="Times New Roman" w:cs="Times New Roman"/>
          <w:spacing w:val="-1"/>
          <w:sz w:val="24"/>
          <w:szCs w:val="24"/>
        </w:rPr>
        <w:t>e</w:t>
      </w:r>
      <w:r w:rsidRPr="0036725A">
        <w:rPr>
          <w:rFonts w:ascii="Times New Roman" w:eastAsia="Times New Roman" w:hAnsi="Times New Roman" w:cs="Times New Roman"/>
          <w:sz w:val="24"/>
          <w:szCs w:val="24"/>
        </w:rPr>
        <w:t xml:space="preserve">d </w:t>
      </w:r>
      <w:r w:rsidRPr="0036725A">
        <w:rPr>
          <w:rFonts w:ascii="Times New Roman" w:eastAsia="Times New Roman" w:hAnsi="Times New Roman" w:cs="Times New Roman"/>
          <w:spacing w:val="1"/>
          <w:sz w:val="24"/>
          <w:szCs w:val="24"/>
        </w:rPr>
        <w:t>S</w:t>
      </w:r>
      <w:r w:rsidRPr="0036725A">
        <w:rPr>
          <w:rFonts w:ascii="Times New Roman" w:eastAsia="Times New Roman" w:hAnsi="Times New Roman" w:cs="Times New Roman"/>
          <w:sz w:val="24"/>
          <w:szCs w:val="24"/>
        </w:rPr>
        <w:t>t</w:t>
      </w:r>
      <w:r w:rsidRPr="0036725A">
        <w:rPr>
          <w:rFonts w:ascii="Times New Roman" w:eastAsia="Times New Roman" w:hAnsi="Times New Roman" w:cs="Times New Roman"/>
          <w:spacing w:val="-1"/>
          <w:sz w:val="24"/>
          <w:szCs w:val="24"/>
        </w:rPr>
        <w:t>a</w:t>
      </w:r>
      <w:r w:rsidRPr="0036725A">
        <w:rPr>
          <w:rFonts w:ascii="Times New Roman" w:eastAsia="Times New Roman" w:hAnsi="Times New Roman" w:cs="Times New Roman"/>
          <w:sz w:val="24"/>
          <w:szCs w:val="24"/>
        </w:rPr>
        <w:t>t</w:t>
      </w:r>
      <w:r w:rsidRPr="0036725A">
        <w:rPr>
          <w:rFonts w:ascii="Times New Roman" w:eastAsia="Times New Roman" w:hAnsi="Times New Roman" w:cs="Times New Roman"/>
          <w:spacing w:val="-1"/>
          <w:sz w:val="24"/>
          <w:szCs w:val="24"/>
        </w:rPr>
        <w:t>e</w:t>
      </w:r>
      <w:r w:rsidRPr="0036725A">
        <w:rPr>
          <w:rFonts w:ascii="Times New Roman" w:eastAsia="Times New Roman" w:hAnsi="Times New Roman" w:cs="Times New Roman"/>
          <w:sz w:val="24"/>
          <w:szCs w:val="24"/>
        </w:rPr>
        <w:t>s</w:t>
      </w:r>
      <w:r w:rsidRPr="0036725A">
        <w:rPr>
          <w:rFonts w:ascii="Times New Roman" w:eastAsia="Times New Roman" w:hAnsi="Times New Roman" w:cs="Times New Roman"/>
          <w:spacing w:val="3"/>
          <w:sz w:val="24"/>
          <w:szCs w:val="24"/>
        </w:rPr>
        <w:t xml:space="preserve"> </w:t>
      </w:r>
      <w:r w:rsidRPr="0036725A">
        <w:rPr>
          <w:rFonts w:ascii="Times New Roman" w:eastAsia="Times New Roman" w:hAnsi="Times New Roman" w:cs="Times New Roman"/>
          <w:sz w:val="24"/>
          <w:szCs w:val="24"/>
        </w:rPr>
        <w:t>T</w:t>
      </w:r>
      <w:r w:rsidRPr="0036725A">
        <w:rPr>
          <w:rFonts w:ascii="Times New Roman" w:eastAsia="Times New Roman" w:hAnsi="Times New Roman" w:cs="Times New Roman"/>
          <w:spacing w:val="-1"/>
          <w:sz w:val="24"/>
          <w:szCs w:val="24"/>
        </w:rPr>
        <w:t>a</w:t>
      </w:r>
      <w:r w:rsidRPr="0036725A">
        <w:rPr>
          <w:rFonts w:ascii="Times New Roman" w:eastAsia="Times New Roman" w:hAnsi="Times New Roman" w:cs="Times New Roman"/>
          <w:sz w:val="24"/>
          <w:szCs w:val="24"/>
        </w:rPr>
        <w:t>x</w:t>
      </w:r>
      <w:r w:rsidRPr="0036725A">
        <w:rPr>
          <w:rFonts w:ascii="Times New Roman" w:eastAsia="Times New Roman" w:hAnsi="Times New Roman" w:cs="Times New Roman"/>
          <w:spacing w:val="4"/>
          <w:sz w:val="24"/>
          <w:szCs w:val="24"/>
        </w:rPr>
        <w:t xml:space="preserve"> </w:t>
      </w:r>
      <w:r w:rsidRPr="0036725A">
        <w:rPr>
          <w:rFonts w:ascii="Times New Roman" w:eastAsia="Times New Roman" w:hAnsi="Times New Roman" w:cs="Times New Roman"/>
          <w:spacing w:val="1"/>
          <w:sz w:val="24"/>
          <w:szCs w:val="24"/>
        </w:rPr>
        <w:t>C</w:t>
      </w:r>
      <w:r w:rsidRPr="0036725A">
        <w:rPr>
          <w:rFonts w:ascii="Times New Roman" w:eastAsia="Times New Roman" w:hAnsi="Times New Roman" w:cs="Times New Roman"/>
          <w:sz w:val="24"/>
          <w:szCs w:val="24"/>
        </w:rPr>
        <w:t>ourt</w:t>
      </w:r>
      <w:r w:rsidRPr="0036725A">
        <w:rPr>
          <w:rFonts w:ascii="Times New Roman" w:eastAsia="Times New Roman" w:hAnsi="Times New Roman" w:cs="Times New Roman"/>
          <w:spacing w:val="3"/>
          <w:sz w:val="24"/>
          <w:szCs w:val="24"/>
        </w:rPr>
        <w:t xml:space="preserve"> </w:t>
      </w:r>
      <w:r w:rsidRPr="0036725A">
        <w:rPr>
          <w:rFonts w:ascii="Times New Roman" w:eastAsia="Times New Roman" w:hAnsi="Times New Roman" w:cs="Times New Roman"/>
          <w:sz w:val="24"/>
          <w:szCs w:val="24"/>
        </w:rPr>
        <w:t>in</w:t>
      </w:r>
      <w:r w:rsidRPr="0036725A">
        <w:rPr>
          <w:rFonts w:ascii="Times New Roman" w:eastAsia="Times New Roman" w:hAnsi="Times New Roman" w:cs="Times New Roman"/>
          <w:spacing w:val="4"/>
          <w:sz w:val="24"/>
          <w:szCs w:val="24"/>
        </w:rPr>
        <w:t xml:space="preserve"> </w:t>
      </w:r>
      <w:r w:rsidRPr="0036725A">
        <w:rPr>
          <w:rFonts w:ascii="Times New Roman" w:eastAsia="Times New Roman" w:hAnsi="Times New Roman" w:cs="Times New Roman"/>
          <w:spacing w:val="-1"/>
          <w:sz w:val="24"/>
          <w:szCs w:val="24"/>
        </w:rPr>
        <w:t>a</w:t>
      </w:r>
      <w:r w:rsidRPr="0036725A">
        <w:rPr>
          <w:rFonts w:ascii="Times New Roman" w:eastAsia="Times New Roman" w:hAnsi="Times New Roman" w:cs="Times New Roman"/>
          <w:sz w:val="24"/>
          <w:szCs w:val="24"/>
        </w:rPr>
        <w:t>n</w:t>
      </w:r>
      <w:r w:rsidRPr="0036725A">
        <w:rPr>
          <w:rFonts w:ascii="Times New Roman" w:eastAsia="Times New Roman" w:hAnsi="Times New Roman" w:cs="Times New Roman"/>
          <w:spacing w:val="4"/>
          <w:sz w:val="24"/>
          <w:szCs w:val="24"/>
        </w:rPr>
        <w:t xml:space="preserve"> </w:t>
      </w:r>
      <w:r w:rsidRPr="0036725A">
        <w:rPr>
          <w:rFonts w:ascii="Times New Roman" w:eastAsia="Times New Roman" w:hAnsi="Times New Roman" w:cs="Times New Roman"/>
          <w:sz w:val="24"/>
          <w:szCs w:val="24"/>
        </w:rPr>
        <w:t>opi</w:t>
      </w:r>
      <w:r w:rsidRPr="0036725A">
        <w:rPr>
          <w:rFonts w:ascii="Times New Roman" w:eastAsia="Times New Roman" w:hAnsi="Times New Roman" w:cs="Times New Roman"/>
          <w:spacing w:val="-2"/>
          <w:sz w:val="24"/>
          <w:szCs w:val="24"/>
        </w:rPr>
        <w:t>n</w:t>
      </w:r>
      <w:r w:rsidRPr="0036725A">
        <w:rPr>
          <w:rFonts w:ascii="Times New Roman" w:eastAsia="Times New Roman" w:hAnsi="Times New Roman" w:cs="Times New Roman"/>
          <w:sz w:val="24"/>
          <w:szCs w:val="24"/>
        </w:rPr>
        <w:t>ion iss</w:t>
      </w:r>
      <w:r w:rsidRPr="0036725A">
        <w:rPr>
          <w:rFonts w:ascii="Times New Roman" w:eastAsia="Times New Roman" w:hAnsi="Times New Roman" w:cs="Times New Roman"/>
          <w:spacing w:val="-2"/>
          <w:sz w:val="24"/>
          <w:szCs w:val="24"/>
        </w:rPr>
        <w:t>u</w:t>
      </w:r>
      <w:r w:rsidRPr="0036725A">
        <w:rPr>
          <w:rFonts w:ascii="Times New Roman" w:eastAsia="Times New Roman" w:hAnsi="Times New Roman" w:cs="Times New Roman"/>
          <w:spacing w:val="-1"/>
          <w:sz w:val="24"/>
          <w:szCs w:val="24"/>
        </w:rPr>
        <w:t>e</w:t>
      </w:r>
      <w:r w:rsidRPr="0036725A">
        <w:rPr>
          <w:rFonts w:ascii="Times New Roman" w:eastAsia="Times New Roman" w:hAnsi="Times New Roman" w:cs="Times New Roman"/>
          <w:sz w:val="24"/>
          <w:szCs w:val="24"/>
        </w:rPr>
        <w:t>d</w:t>
      </w:r>
      <w:r w:rsidRPr="0036725A">
        <w:rPr>
          <w:rFonts w:ascii="Times New Roman" w:eastAsia="Times New Roman" w:hAnsi="Times New Roman" w:cs="Times New Roman"/>
          <w:spacing w:val="1"/>
          <w:sz w:val="24"/>
          <w:szCs w:val="24"/>
        </w:rPr>
        <w:t xml:space="preserve"> </w:t>
      </w:r>
      <w:r w:rsidRPr="0036725A">
        <w:rPr>
          <w:rFonts w:ascii="Times New Roman" w:eastAsia="Times New Roman" w:hAnsi="Times New Roman" w:cs="Times New Roman"/>
          <w:spacing w:val="2"/>
          <w:sz w:val="24"/>
          <w:szCs w:val="24"/>
        </w:rPr>
        <w:t>b</w:t>
      </w:r>
      <w:r w:rsidRPr="0036725A">
        <w:rPr>
          <w:rFonts w:ascii="Times New Roman" w:eastAsia="Times New Roman" w:hAnsi="Times New Roman" w:cs="Times New Roman"/>
          <w:sz w:val="24"/>
          <w:szCs w:val="24"/>
        </w:rPr>
        <w:t>y</w:t>
      </w:r>
      <w:r w:rsidRPr="0036725A">
        <w:rPr>
          <w:rFonts w:ascii="Times New Roman" w:eastAsia="Times New Roman" w:hAnsi="Times New Roman" w:cs="Times New Roman"/>
          <w:spacing w:val="-2"/>
          <w:sz w:val="24"/>
          <w:szCs w:val="24"/>
        </w:rPr>
        <w:t xml:space="preserve"> </w:t>
      </w:r>
      <w:r w:rsidRPr="0036725A">
        <w:rPr>
          <w:rFonts w:ascii="Times New Roman" w:eastAsia="Times New Roman" w:hAnsi="Times New Roman" w:cs="Times New Roman"/>
          <w:spacing w:val="3"/>
          <w:sz w:val="24"/>
          <w:szCs w:val="24"/>
        </w:rPr>
        <w:t>J</w:t>
      </w:r>
      <w:r w:rsidRPr="0036725A">
        <w:rPr>
          <w:rFonts w:ascii="Times New Roman" w:eastAsia="Times New Roman" w:hAnsi="Times New Roman" w:cs="Times New Roman"/>
          <w:sz w:val="24"/>
          <w:szCs w:val="24"/>
        </w:rPr>
        <w:t>ud</w:t>
      </w:r>
      <w:r w:rsidRPr="0036725A">
        <w:rPr>
          <w:rFonts w:ascii="Times New Roman" w:eastAsia="Times New Roman" w:hAnsi="Times New Roman" w:cs="Times New Roman"/>
          <w:spacing w:val="-2"/>
          <w:sz w:val="24"/>
          <w:szCs w:val="24"/>
        </w:rPr>
        <w:t>g</w:t>
      </w:r>
      <w:r w:rsidRPr="0036725A">
        <w:rPr>
          <w:rFonts w:ascii="Times New Roman" w:eastAsia="Times New Roman" w:hAnsi="Times New Roman" w:cs="Times New Roman"/>
          <w:sz w:val="24"/>
          <w:szCs w:val="24"/>
        </w:rPr>
        <w:t xml:space="preserve">e </w:t>
      </w:r>
      <w:r w:rsidRPr="0036725A">
        <w:rPr>
          <w:rFonts w:ascii="Times New Roman" w:eastAsia="Times New Roman" w:hAnsi="Times New Roman" w:cs="Times New Roman"/>
          <w:spacing w:val="2"/>
          <w:sz w:val="24"/>
          <w:szCs w:val="24"/>
        </w:rPr>
        <w:t>K</w:t>
      </w:r>
      <w:r w:rsidRPr="0036725A">
        <w:rPr>
          <w:rFonts w:ascii="Times New Roman" w:eastAsia="Times New Roman" w:hAnsi="Times New Roman" w:cs="Times New Roman"/>
          <w:spacing w:val="-1"/>
          <w:sz w:val="24"/>
          <w:szCs w:val="24"/>
        </w:rPr>
        <w:t>a</w:t>
      </w:r>
      <w:r w:rsidRPr="0036725A">
        <w:rPr>
          <w:rFonts w:ascii="Times New Roman" w:eastAsia="Times New Roman" w:hAnsi="Times New Roman" w:cs="Times New Roman"/>
          <w:sz w:val="24"/>
          <w:szCs w:val="24"/>
        </w:rPr>
        <w:t>thl</w:t>
      </w:r>
      <w:r w:rsidRPr="0036725A">
        <w:rPr>
          <w:rFonts w:ascii="Times New Roman" w:eastAsia="Times New Roman" w:hAnsi="Times New Roman" w:cs="Times New Roman"/>
          <w:spacing w:val="-1"/>
          <w:sz w:val="24"/>
          <w:szCs w:val="24"/>
        </w:rPr>
        <w:t>ee</w:t>
      </w:r>
      <w:r w:rsidRPr="0036725A">
        <w:rPr>
          <w:rFonts w:ascii="Times New Roman" w:eastAsia="Times New Roman" w:hAnsi="Times New Roman" w:cs="Times New Roman"/>
          <w:sz w:val="24"/>
          <w:szCs w:val="24"/>
        </w:rPr>
        <w:t>n K</w:t>
      </w:r>
      <w:r w:rsidRPr="0036725A">
        <w:rPr>
          <w:rFonts w:ascii="Times New Roman" w:eastAsia="Times New Roman" w:hAnsi="Times New Roman" w:cs="Times New Roman"/>
          <w:spacing w:val="-1"/>
          <w:sz w:val="24"/>
          <w:szCs w:val="24"/>
        </w:rPr>
        <w:t>e</w:t>
      </w:r>
      <w:r w:rsidRPr="0036725A">
        <w:rPr>
          <w:rFonts w:ascii="Times New Roman" w:eastAsia="Times New Roman" w:hAnsi="Times New Roman" w:cs="Times New Roman"/>
          <w:sz w:val="24"/>
          <w:szCs w:val="24"/>
        </w:rPr>
        <w:t>rr</w:t>
      </w:r>
      <w:r w:rsidRPr="0036725A">
        <w:rPr>
          <w:rFonts w:ascii="Times New Roman" w:eastAsia="Times New Roman" w:hAnsi="Times New Roman" w:cs="Times New Roman"/>
          <w:spacing w:val="3"/>
          <w:sz w:val="24"/>
          <w:szCs w:val="24"/>
        </w:rPr>
        <w:t>i</w:t>
      </w:r>
      <w:r w:rsidRPr="0036725A">
        <w:rPr>
          <w:rFonts w:ascii="Times New Roman" w:eastAsia="Times New Roman" w:hAnsi="Times New Roman" w:cs="Times New Roman"/>
          <w:spacing w:val="-2"/>
          <w:sz w:val="24"/>
          <w:szCs w:val="24"/>
        </w:rPr>
        <w:t>g</w:t>
      </w:r>
      <w:r w:rsidRPr="0036725A">
        <w:rPr>
          <w:rFonts w:ascii="Times New Roman" w:eastAsia="Times New Roman" w:hAnsi="Times New Roman" w:cs="Times New Roman"/>
          <w:spacing w:val="-1"/>
          <w:sz w:val="24"/>
          <w:szCs w:val="24"/>
        </w:rPr>
        <w:t>a</w:t>
      </w:r>
      <w:r w:rsidRPr="0036725A">
        <w:rPr>
          <w:rFonts w:ascii="Times New Roman" w:eastAsia="Times New Roman" w:hAnsi="Times New Roman" w:cs="Times New Roman"/>
          <w:sz w:val="24"/>
          <w:szCs w:val="24"/>
        </w:rPr>
        <w:t>n</w:t>
      </w:r>
      <w:r w:rsidRPr="0036725A">
        <w:rPr>
          <w:rFonts w:ascii="Times New Roman" w:eastAsia="Times New Roman" w:hAnsi="Times New Roman" w:cs="Times New Roman"/>
          <w:spacing w:val="-5"/>
          <w:sz w:val="24"/>
          <w:szCs w:val="24"/>
        </w:rPr>
        <w:t xml:space="preserve"> </w:t>
      </w:r>
      <w:r w:rsidRPr="0036725A">
        <w:rPr>
          <w:rFonts w:ascii="Times New Roman" w:eastAsia="Times New Roman" w:hAnsi="Times New Roman" w:cs="Times New Roman"/>
          <w:sz w:val="24"/>
          <w:szCs w:val="24"/>
        </w:rPr>
        <w:t>(the</w:t>
      </w:r>
      <w:r w:rsidRPr="0036725A">
        <w:rPr>
          <w:rFonts w:ascii="Times New Roman" w:eastAsia="Times New Roman" w:hAnsi="Times New Roman" w:cs="Times New Roman"/>
          <w:spacing w:val="-5"/>
          <w:sz w:val="24"/>
          <w:szCs w:val="24"/>
        </w:rPr>
        <w:t xml:space="preserve"> </w:t>
      </w:r>
      <w:r w:rsidRPr="0036725A">
        <w:rPr>
          <w:rFonts w:ascii="Times New Roman" w:eastAsia="Times New Roman" w:hAnsi="Times New Roman" w:cs="Times New Roman"/>
          <w:spacing w:val="-1"/>
          <w:sz w:val="24"/>
          <w:szCs w:val="24"/>
        </w:rPr>
        <w:t>“</w:t>
      </w:r>
      <w:r w:rsidRPr="0036725A">
        <w:rPr>
          <w:rFonts w:ascii="Times New Roman" w:eastAsia="Times New Roman" w:hAnsi="Times New Roman" w:cs="Times New Roman"/>
          <w:sz w:val="24"/>
          <w:szCs w:val="24"/>
        </w:rPr>
        <w:t>Opinion</w:t>
      </w:r>
      <w:r w:rsidRPr="0036725A">
        <w:rPr>
          <w:rFonts w:ascii="Times New Roman" w:eastAsia="Times New Roman" w:hAnsi="Times New Roman" w:cs="Times New Roman"/>
          <w:spacing w:val="2"/>
          <w:sz w:val="24"/>
          <w:szCs w:val="24"/>
        </w:rPr>
        <w:t>”</w:t>
      </w:r>
      <w:r w:rsidRPr="0036725A">
        <w:rPr>
          <w:rFonts w:ascii="Times New Roman" w:eastAsia="Times New Roman" w:hAnsi="Times New Roman" w:cs="Times New Roman"/>
          <w:sz w:val="24"/>
          <w:szCs w:val="24"/>
        </w:rPr>
        <w:t>)</w:t>
      </w:r>
      <w:r w:rsidRPr="0036725A">
        <w:rPr>
          <w:rFonts w:ascii="Times New Roman" w:eastAsia="Times New Roman" w:hAnsi="Times New Roman" w:cs="Times New Roman"/>
          <w:spacing w:val="-7"/>
          <w:sz w:val="24"/>
          <w:szCs w:val="24"/>
        </w:rPr>
        <w:t xml:space="preserve"> </w:t>
      </w:r>
      <w:r w:rsidRPr="0036725A">
        <w:rPr>
          <w:rFonts w:ascii="Times New Roman" w:eastAsia="Times New Roman" w:hAnsi="Times New Roman" w:cs="Times New Roman"/>
          <w:sz w:val="24"/>
          <w:szCs w:val="24"/>
        </w:rPr>
        <w:t>on</w:t>
      </w:r>
      <w:r w:rsidRPr="0036725A">
        <w:rPr>
          <w:rFonts w:ascii="Times New Roman" w:eastAsia="Times New Roman" w:hAnsi="Times New Roman" w:cs="Times New Roman"/>
          <w:spacing w:val="-2"/>
          <w:sz w:val="24"/>
          <w:szCs w:val="24"/>
        </w:rPr>
        <w:t xml:space="preserve"> </w:t>
      </w:r>
      <w:r w:rsidRPr="0036725A">
        <w:rPr>
          <w:rFonts w:ascii="Times New Roman" w:eastAsia="Times New Roman" w:hAnsi="Times New Roman" w:cs="Times New Roman"/>
          <w:spacing w:val="3"/>
          <w:sz w:val="24"/>
          <w:szCs w:val="24"/>
        </w:rPr>
        <w:t>J</w:t>
      </w:r>
      <w:r w:rsidRPr="0036725A">
        <w:rPr>
          <w:rFonts w:ascii="Times New Roman" w:eastAsia="Times New Roman" w:hAnsi="Times New Roman" w:cs="Times New Roman"/>
          <w:sz w:val="24"/>
          <w:szCs w:val="24"/>
        </w:rPr>
        <w:t>une</w:t>
      </w:r>
      <w:r w:rsidRPr="0036725A">
        <w:rPr>
          <w:rFonts w:ascii="Times New Roman" w:eastAsia="Times New Roman" w:hAnsi="Times New Roman" w:cs="Times New Roman"/>
          <w:spacing w:val="-5"/>
          <w:sz w:val="24"/>
          <w:szCs w:val="24"/>
        </w:rPr>
        <w:t xml:space="preserve"> </w:t>
      </w:r>
      <w:r w:rsidRPr="0036725A">
        <w:rPr>
          <w:rFonts w:ascii="Times New Roman" w:eastAsia="Times New Roman" w:hAnsi="Times New Roman" w:cs="Times New Roman"/>
          <w:sz w:val="24"/>
          <w:szCs w:val="24"/>
        </w:rPr>
        <w:t>18,</w:t>
      </w:r>
      <w:r w:rsidRPr="0036725A">
        <w:rPr>
          <w:rFonts w:ascii="Times New Roman" w:eastAsia="Times New Roman" w:hAnsi="Times New Roman" w:cs="Times New Roman"/>
          <w:spacing w:val="-3"/>
          <w:sz w:val="24"/>
          <w:szCs w:val="24"/>
        </w:rPr>
        <w:t xml:space="preserve"> </w:t>
      </w:r>
      <w:r w:rsidRPr="0036725A">
        <w:rPr>
          <w:rFonts w:ascii="Times New Roman" w:eastAsia="Times New Roman" w:hAnsi="Times New Roman" w:cs="Times New Roman"/>
          <w:sz w:val="24"/>
          <w:szCs w:val="24"/>
        </w:rPr>
        <w:t>2018.</w:t>
      </w:r>
    </w:p>
    <w:p w14:paraId="0634ADF2" w14:textId="77777777" w:rsidR="00B61CA0" w:rsidRPr="0036725A" w:rsidRDefault="00B61CA0" w:rsidP="00B61CA0">
      <w:pPr>
        <w:spacing w:after="0" w:line="240" w:lineRule="auto"/>
        <w:rPr>
          <w:rFonts w:ascii="Times New Roman" w:hAnsi="Times New Roman" w:cs="Times New Roman"/>
          <w:sz w:val="24"/>
          <w:szCs w:val="24"/>
        </w:rPr>
      </w:pPr>
    </w:p>
    <w:p w14:paraId="2E01C933" w14:textId="293EA92C" w:rsidR="000A2139" w:rsidRDefault="00B61CA0" w:rsidP="00B61CA0">
      <w:pPr>
        <w:spacing w:after="0" w:line="240" w:lineRule="auto"/>
        <w:rPr>
          <w:rFonts w:ascii="Times New Roman" w:hAnsi="Times New Roman" w:cs="Times New Roman"/>
          <w:sz w:val="24"/>
          <w:szCs w:val="24"/>
        </w:rPr>
      </w:pPr>
      <w:r w:rsidRPr="0036725A">
        <w:rPr>
          <w:rFonts w:ascii="Times New Roman" w:hAnsi="Times New Roman" w:cs="Times New Roman"/>
          <w:sz w:val="24"/>
          <w:szCs w:val="24"/>
        </w:rPr>
        <w:t xml:space="preserve">In continuing the series on the recent </w:t>
      </w:r>
      <w:r w:rsidR="00530C6C">
        <w:rPr>
          <w:rFonts w:ascii="Times New Roman" w:hAnsi="Times New Roman" w:cs="Times New Roman"/>
          <w:sz w:val="24"/>
          <w:szCs w:val="24"/>
        </w:rPr>
        <w:t>O</w:t>
      </w:r>
      <w:r w:rsidRPr="0036725A">
        <w:rPr>
          <w:rFonts w:ascii="Times New Roman" w:hAnsi="Times New Roman" w:cs="Times New Roman"/>
          <w:sz w:val="24"/>
          <w:szCs w:val="24"/>
        </w:rPr>
        <w:t xml:space="preserve">pinion </w:t>
      </w:r>
      <w:r w:rsidRPr="005561F8">
        <w:rPr>
          <w:rFonts w:ascii="Times New Roman" w:hAnsi="Times New Roman" w:cs="Times New Roman"/>
          <w:sz w:val="24"/>
          <w:szCs w:val="24"/>
        </w:rPr>
        <w:t xml:space="preserve">issued in </w:t>
      </w:r>
      <w:r w:rsidRPr="005561F8">
        <w:rPr>
          <w:rFonts w:ascii="Times New Roman" w:hAnsi="Times New Roman" w:cs="Times New Roman"/>
          <w:i/>
          <w:sz w:val="24"/>
          <w:szCs w:val="24"/>
        </w:rPr>
        <w:t>Reserve</w:t>
      </w:r>
      <w:r w:rsidRPr="005561F8">
        <w:rPr>
          <w:rFonts w:ascii="Times New Roman" w:hAnsi="Times New Roman" w:cs="Times New Roman"/>
          <w:sz w:val="24"/>
          <w:szCs w:val="24"/>
        </w:rPr>
        <w:t>,</w:t>
      </w:r>
      <w:r w:rsidRPr="005561F8">
        <w:rPr>
          <w:rFonts w:ascii="Times New Roman" w:hAnsi="Times New Roman" w:cs="Times New Roman"/>
          <w:i/>
          <w:sz w:val="24"/>
          <w:szCs w:val="24"/>
        </w:rPr>
        <w:t xml:space="preserve"> </w:t>
      </w:r>
      <w:r w:rsidRPr="005561F8">
        <w:rPr>
          <w:rFonts w:ascii="Times New Roman" w:hAnsi="Times New Roman" w:cs="Times New Roman"/>
          <w:sz w:val="24"/>
          <w:szCs w:val="24"/>
        </w:rPr>
        <w:t xml:space="preserve">this </w:t>
      </w:r>
      <w:r w:rsidR="006E6E97" w:rsidRPr="005561F8">
        <w:rPr>
          <w:rFonts w:ascii="Times New Roman" w:hAnsi="Times New Roman" w:cs="Times New Roman"/>
          <w:sz w:val="24"/>
          <w:szCs w:val="24"/>
        </w:rPr>
        <w:t>f</w:t>
      </w:r>
      <w:r w:rsidR="00277148" w:rsidRPr="005561F8">
        <w:rPr>
          <w:rFonts w:ascii="Times New Roman" w:hAnsi="Times New Roman" w:cs="Times New Roman"/>
          <w:sz w:val="24"/>
          <w:szCs w:val="24"/>
        </w:rPr>
        <w:t>ourth</w:t>
      </w:r>
      <w:r w:rsidRPr="005561F8">
        <w:rPr>
          <w:rFonts w:ascii="Times New Roman" w:hAnsi="Times New Roman" w:cs="Times New Roman"/>
          <w:sz w:val="24"/>
          <w:szCs w:val="24"/>
        </w:rPr>
        <w:t xml:space="preserve"> comm</w:t>
      </w:r>
      <w:r w:rsidRPr="0036725A">
        <w:rPr>
          <w:rFonts w:ascii="Times New Roman" w:hAnsi="Times New Roman" w:cs="Times New Roman"/>
          <w:sz w:val="24"/>
          <w:szCs w:val="24"/>
        </w:rPr>
        <w:t xml:space="preserve">entary addresses the issues involving </w:t>
      </w:r>
      <w:r>
        <w:rPr>
          <w:rFonts w:ascii="Times New Roman" w:hAnsi="Times New Roman" w:cs="Times New Roman"/>
          <w:sz w:val="24"/>
          <w:szCs w:val="24"/>
        </w:rPr>
        <w:t xml:space="preserve">the Court’s </w:t>
      </w:r>
      <w:r w:rsidR="008B5D12">
        <w:rPr>
          <w:rFonts w:ascii="Times New Roman" w:hAnsi="Times New Roman" w:cs="Times New Roman"/>
          <w:sz w:val="24"/>
          <w:szCs w:val="24"/>
        </w:rPr>
        <w:t>erroneous</w:t>
      </w:r>
      <w:r w:rsidR="0058140B">
        <w:rPr>
          <w:rFonts w:ascii="Times New Roman" w:hAnsi="Times New Roman" w:cs="Times New Roman"/>
          <w:sz w:val="24"/>
          <w:szCs w:val="24"/>
        </w:rPr>
        <w:t xml:space="preserve"> application </w:t>
      </w:r>
      <w:r w:rsidR="00E65032">
        <w:rPr>
          <w:rFonts w:ascii="Times New Roman" w:hAnsi="Times New Roman" w:cs="Times New Roman"/>
          <w:sz w:val="24"/>
          <w:szCs w:val="24"/>
        </w:rPr>
        <w:t xml:space="preserve">of the facts to the law and the misapplication </w:t>
      </w:r>
      <w:r w:rsidR="0058140B">
        <w:rPr>
          <w:rFonts w:ascii="Times New Roman" w:hAnsi="Times New Roman" w:cs="Times New Roman"/>
          <w:sz w:val="24"/>
          <w:szCs w:val="24"/>
        </w:rPr>
        <w:t xml:space="preserve">of </w:t>
      </w:r>
      <w:r w:rsidR="0058140B" w:rsidRPr="0058140B">
        <w:rPr>
          <w:rFonts w:ascii="Times New Roman" w:hAnsi="Times New Roman" w:cs="Times New Roman"/>
          <w:i/>
          <w:sz w:val="24"/>
          <w:szCs w:val="24"/>
        </w:rPr>
        <w:t>Avrahami</w:t>
      </w:r>
      <w:r w:rsidR="00046EBF">
        <w:rPr>
          <w:rFonts w:ascii="Times New Roman" w:hAnsi="Times New Roman" w:cs="Times New Roman"/>
          <w:i/>
          <w:sz w:val="24"/>
          <w:szCs w:val="24"/>
        </w:rPr>
        <w:t xml:space="preserve"> v. Commissioner</w:t>
      </w:r>
      <w:r w:rsidR="000A2139">
        <w:rPr>
          <w:rStyle w:val="EndnoteReference"/>
          <w:rFonts w:ascii="Times New Roman" w:hAnsi="Times New Roman" w:cs="Times New Roman"/>
          <w:sz w:val="24"/>
          <w:szCs w:val="24"/>
        </w:rPr>
        <w:endnoteReference w:id="1"/>
      </w:r>
      <w:r w:rsidR="000A2139">
        <w:rPr>
          <w:rFonts w:ascii="Times New Roman" w:hAnsi="Times New Roman" w:cs="Times New Roman"/>
          <w:sz w:val="24"/>
          <w:szCs w:val="24"/>
        </w:rPr>
        <w:t xml:space="preserve"> (opinion filed August 21, 2017) as authority for its many findings in its Opinion in </w:t>
      </w:r>
      <w:r w:rsidR="000A2139" w:rsidRPr="00FE4DD8">
        <w:rPr>
          <w:rFonts w:ascii="Times New Roman" w:hAnsi="Times New Roman" w:cs="Times New Roman"/>
          <w:i/>
          <w:sz w:val="24"/>
          <w:szCs w:val="24"/>
        </w:rPr>
        <w:t>Reserve</w:t>
      </w:r>
      <w:r w:rsidR="000A2139" w:rsidRPr="00FE4DD8">
        <w:rPr>
          <w:rFonts w:ascii="Times New Roman" w:hAnsi="Times New Roman" w:cs="Times New Roman"/>
          <w:sz w:val="24"/>
          <w:szCs w:val="24"/>
        </w:rPr>
        <w:t>.</w:t>
      </w:r>
    </w:p>
    <w:p w14:paraId="15906A6B" w14:textId="77777777" w:rsidR="000A2139" w:rsidRDefault="000A2139" w:rsidP="00B61CA0">
      <w:pPr>
        <w:spacing w:after="0" w:line="240" w:lineRule="auto"/>
        <w:rPr>
          <w:rFonts w:ascii="Times New Roman" w:hAnsi="Times New Roman" w:cs="Times New Roman"/>
          <w:sz w:val="24"/>
          <w:szCs w:val="24"/>
        </w:rPr>
      </w:pPr>
    </w:p>
    <w:p w14:paraId="604F49E2" w14:textId="77777777" w:rsidR="000A2139" w:rsidRDefault="000A2139" w:rsidP="00B61CA0">
      <w:pPr>
        <w:spacing w:after="0" w:line="240" w:lineRule="auto"/>
        <w:rPr>
          <w:rFonts w:ascii="Times New Roman" w:hAnsi="Times New Roman" w:cs="Times New Roman"/>
          <w:sz w:val="24"/>
          <w:szCs w:val="24"/>
        </w:rPr>
      </w:pPr>
      <w:r w:rsidRPr="00FE4DD8">
        <w:rPr>
          <w:rFonts w:ascii="Times New Roman" w:hAnsi="Times New Roman" w:cs="Times New Roman"/>
          <w:sz w:val="24"/>
          <w:szCs w:val="24"/>
        </w:rPr>
        <w:t xml:space="preserve">The </w:t>
      </w:r>
      <w:r w:rsidRPr="00245B57">
        <w:rPr>
          <w:rFonts w:ascii="Times New Roman" w:hAnsi="Times New Roman" w:cs="Times New Roman"/>
          <w:i/>
          <w:sz w:val="24"/>
          <w:szCs w:val="24"/>
        </w:rPr>
        <w:t>Reserve</w:t>
      </w:r>
      <w:r>
        <w:rPr>
          <w:rFonts w:ascii="Times New Roman" w:hAnsi="Times New Roman" w:cs="Times New Roman"/>
          <w:sz w:val="24"/>
          <w:szCs w:val="24"/>
        </w:rPr>
        <w:t xml:space="preserve"> </w:t>
      </w:r>
      <w:r w:rsidRPr="00FE4DD8">
        <w:rPr>
          <w:rFonts w:ascii="Times New Roman" w:hAnsi="Times New Roman" w:cs="Times New Roman"/>
          <w:sz w:val="24"/>
          <w:szCs w:val="24"/>
        </w:rPr>
        <w:t>Opinion</w:t>
      </w:r>
      <w:r w:rsidRPr="0036725A">
        <w:rPr>
          <w:rFonts w:ascii="Times New Roman" w:hAnsi="Times New Roman" w:cs="Times New Roman"/>
          <w:sz w:val="24"/>
          <w:szCs w:val="24"/>
        </w:rPr>
        <w:t xml:space="preserve"> and trial transcript can be found </w:t>
      </w:r>
      <w:hyperlink r:id="rId8" w:history="1">
        <w:r w:rsidRPr="0036725A">
          <w:rPr>
            <w:rStyle w:val="Hyperlink"/>
            <w:rFonts w:ascii="Times New Roman" w:hAnsi="Times New Roman" w:cs="Times New Roman"/>
            <w:sz w:val="24"/>
            <w:szCs w:val="24"/>
          </w:rPr>
          <w:t>here</w:t>
        </w:r>
      </w:hyperlink>
      <w:r w:rsidRPr="0036725A">
        <w:rPr>
          <w:rFonts w:ascii="Times New Roman" w:hAnsi="Times New Roman" w:cs="Times New Roman"/>
          <w:sz w:val="24"/>
          <w:szCs w:val="24"/>
        </w:rPr>
        <w:t xml:space="preserve">, along with additional links to the opening briefs, reply briefs, and issues memoranda that were filed both by Petitioner (Reserve) and by Respondent (Internal Revenue Service) in </w:t>
      </w:r>
      <w:r w:rsidRPr="0036725A">
        <w:rPr>
          <w:rFonts w:ascii="Times New Roman" w:hAnsi="Times New Roman" w:cs="Times New Roman"/>
          <w:i/>
          <w:sz w:val="24"/>
          <w:szCs w:val="24"/>
        </w:rPr>
        <w:t>Reserve</w:t>
      </w:r>
      <w:r w:rsidRPr="0036725A">
        <w:rPr>
          <w:rFonts w:ascii="Times New Roman" w:hAnsi="Times New Roman" w:cs="Times New Roman"/>
          <w:sz w:val="24"/>
          <w:szCs w:val="24"/>
        </w:rPr>
        <w:t>.</w:t>
      </w:r>
    </w:p>
    <w:p w14:paraId="5CD25A16" w14:textId="77777777" w:rsidR="000A2139" w:rsidRDefault="000A2139" w:rsidP="00B61CA0">
      <w:pPr>
        <w:spacing w:after="0" w:line="240" w:lineRule="auto"/>
        <w:rPr>
          <w:rFonts w:ascii="Times New Roman" w:hAnsi="Times New Roman" w:cs="Times New Roman"/>
          <w:sz w:val="24"/>
          <w:szCs w:val="24"/>
        </w:rPr>
      </w:pPr>
    </w:p>
    <w:p w14:paraId="0CD6E8EB" w14:textId="2FA85FE7" w:rsidR="000A2139" w:rsidRDefault="000A2139" w:rsidP="00B61CA0">
      <w:pPr>
        <w:spacing w:after="0" w:line="240" w:lineRule="auto"/>
        <w:rPr>
          <w:rFonts w:ascii="Times New Roman" w:hAnsi="Times New Roman" w:cs="Times New Roman"/>
          <w:sz w:val="24"/>
          <w:szCs w:val="24"/>
        </w:rPr>
      </w:pPr>
      <w:r w:rsidRPr="00230A5F">
        <w:rPr>
          <w:rFonts w:ascii="Times New Roman" w:hAnsi="Times New Roman" w:cs="Times New Roman"/>
          <w:i/>
          <w:sz w:val="24"/>
          <w:szCs w:val="24"/>
        </w:rPr>
        <w:t>Avrahami</w:t>
      </w:r>
      <w:r>
        <w:rPr>
          <w:rFonts w:ascii="Times New Roman" w:hAnsi="Times New Roman" w:cs="Times New Roman"/>
          <w:sz w:val="24"/>
          <w:szCs w:val="24"/>
        </w:rPr>
        <w:t xml:space="preserve">’s August 21, 2017 opinion played no role in the </w:t>
      </w:r>
      <w:r w:rsidRPr="00C3493D">
        <w:rPr>
          <w:rFonts w:ascii="Times New Roman" w:hAnsi="Times New Roman" w:cs="Times New Roman"/>
          <w:i/>
          <w:sz w:val="24"/>
          <w:szCs w:val="24"/>
        </w:rPr>
        <w:t>Reserve</w:t>
      </w:r>
      <w:r>
        <w:rPr>
          <w:rFonts w:ascii="Times New Roman" w:hAnsi="Times New Roman" w:cs="Times New Roman"/>
          <w:sz w:val="24"/>
          <w:szCs w:val="24"/>
        </w:rPr>
        <w:t xml:space="preserve"> trial because </w:t>
      </w:r>
      <w:r w:rsidRPr="00C7255D">
        <w:rPr>
          <w:rFonts w:ascii="Times New Roman" w:hAnsi="Times New Roman" w:cs="Times New Roman"/>
          <w:i/>
          <w:sz w:val="24"/>
          <w:szCs w:val="24"/>
        </w:rPr>
        <w:t>Reserve</w:t>
      </w:r>
      <w:r>
        <w:rPr>
          <w:rFonts w:ascii="Times New Roman" w:hAnsi="Times New Roman" w:cs="Times New Roman"/>
          <w:i/>
          <w:sz w:val="24"/>
          <w:szCs w:val="24"/>
        </w:rPr>
        <w:t>’s</w:t>
      </w:r>
      <w:r w:rsidRPr="00C7255D">
        <w:rPr>
          <w:rFonts w:ascii="Times New Roman" w:hAnsi="Times New Roman" w:cs="Times New Roman"/>
          <w:sz w:val="24"/>
          <w:szCs w:val="24"/>
        </w:rPr>
        <w:t xml:space="preserve"> trial end</w:t>
      </w:r>
      <w:r>
        <w:rPr>
          <w:rFonts w:ascii="Times New Roman" w:hAnsi="Times New Roman" w:cs="Times New Roman"/>
          <w:sz w:val="24"/>
          <w:szCs w:val="24"/>
        </w:rPr>
        <w:t xml:space="preserve">ed more than three months earlier on </w:t>
      </w:r>
      <w:r w:rsidRPr="00C7255D">
        <w:rPr>
          <w:rFonts w:ascii="Times New Roman" w:hAnsi="Times New Roman" w:cs="Times New Roman"/>
          <w:sz w:val="24"/>
          <w:szCs w:val="24"/>
        </w:rPr>
        <w:t>May 2, 2017</w:t>
      </w:r>
      <w:r>
        <w:rPr>
          <w:rFonts w:ascii="Times New Roman" w:hAnsi="Times New Roman" w:cs="Times New Roman"/>
          <w:sz w:val="24"/>
          <w:szCs w:val="24"/>
        </w:rPr>
        <w:t xml:space="preserve">.  Even the </w:t>
      </w:r>
      <w:r w:rsidRPr="00777F2B">
        <w:rPr>
          <w:rFonts w:ascii="Times New Roman" w:hAnsi="Times New Roman" w:cs="Times New Roman"/>
          <w:i/>
          <w:sz w:val="24"/>
          <w:szCs w:val="24"/>
        </w:rPr>
        <w:t>Reserve</w:t>
      </w:r>
      <w:r>
        <w:rPr>
          <w:rFonts w:ascii="Times New Roman" w:hAnsi="Times New Roman" w:cs="Times New Roman"/>
          <w:sz w:val="24"/>
          <w:szCs w:val="24"/>
        </w:rPr>
        <w:t xml:space="preserve"> post-trial opening briefs were filed prior to the </w:t>
      </w:r>
      <w:r w:rsidRPr="00777F2B">
        <w:rPr>
          <w:rFonts w:ascii="Times New Roman" w:hAnsi="Times New Roman" w:cs="Times New Roman"/>
          <w:i/>
          <w:sz w:val="24"/>
          <w:szCs w:val="24"/>
        </w:rPr>
        <w:t>Avrahami</w:t>
      </w:r>
      <w:r>
        <w:rPr>
          <w:rFonts w:ascii="Times New Roman" w:hAnsi="Times New Roman" w:cs="Times New Roman"/>
          <w:sz w:val="24"/>
          <w:szCs w:val="24"/>
        </w:rPr>
        <w:t xml:space="preserve"> opinion’s release.  </w:t>
      </w:r>
      <w:r w:rsidRPr="00846640">
        <w:rPr>
          <w:rFonts w:ascii="Times New Roman" w:hAnsi="Times New Roman" w:cs="Times New Roman"/>
          <w:i/>
          <w:sz w:val="24"/>
          <w:szCs w:val="24"/>
        </w:rPr>
        <w:t>Avrahami</w:t>
      </w:r>
      <w:r>
        <w:rPr>
          <w:rFonts w:ascii="Times New Roman" w:hAnsi="Times New Roman" w:cs="Times New Roman"/>
          <w:sz w:val="24"/>
          <w:szCs w:val="24"/>
        </w:rPr>
        <w:t xml:space="preserve"> was first addressed by the parties in </w:t>
      </w:r>
      <w:r w:rsidRPr="001F60DB">
        <w:rPr>
          <w:rFonts w:ascii="Times New Roman" w:hAnsi="Times New Roman" w:cs="Times New Roman"/>
          <w:i/>
          <w:sz w:val="24"/>
          <w:szCs w:val="24"/>
        </w:rPr>
        <w:t>Reserve</w:t>
      </w:r>
      <w:r>
        <w:rPr>
          <w:rFonts w:ascii="Times New Roman" w:hAnsi="Times New Roman" w:cs="Times New Roman"/>
          <w:sz w:val="24"/>
          <w:szCs w:val="24"/>
        </w:rPr>
        <w:t xml:space="preserve"> in their simultaneous reply briefs (filed on October 10, 2018) and by each party in an “issues memorandum” (simultaneously filed on October 31, 2017), which the Court requested to address the </w:t>
      </w:r>
      <w:r w:rsidRPr="006B110D">
        <w:rPr>
          <w:rFonts w:ascii="Times New Roman" w:hAnsi="Times New Roman" w:cs="Times New Roman"/>
          <w:i/>
          <w:sz w:val="24"/>
          <w:szCs w:val="24"/>
        </w:rPr>
        <w:t>Avrahami</w:t>
      </w:r>
      <w:r>
        <w:rPr>
          <w:rFonts w:ascii="Times New Roman" w:hAnsi="Times New Roman" w:cs="Times New Roman"/>
          <w:sz w:val="24"/>
          <w:szCs w:val="24"/>
        </w:rPr>
        <w:t xml:space="preserve"> decision in a short, ten-page brief.</w:t>
      </w:r>
    </w:p>
    <w:p w14:paraId="2BB23A91" w14:textId="77777777" w:rsidR="000A2139" w:rsidRDefault="000A2139" w:rsidP="00B61CA0">
      <w:pPr>
        <w:spacing w:after="0" w:line="240" w:lineRule="auto"/>
        <w:rPr>
          <w:rFonts w:ascii="Times New Roman" w:hAnsi="Times New Roman" w:cs="Times New Roman"/>
          <w:sz w:val="24"/>
          <w:szCs w:val="24"/>
        </w:rPr>
      </w:pPr>
    </w:p>
    <w:p w14:paraId="6F7D932E" w14:textId="77777777" w:rsidR="000A2139" w:rsidRDefault="000A2139" w:rsidP="00B61CA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issues memorandum filed by Reserve to address </w:t>
      </w:r>
      <w:r w:rsidRPr="003651C5">
        <w:rPr>
          <w:rFonts w:ascii="Times New Roman" w:hAnsi="Times New Roman" w:cs="Times New Roman"/>
          <w:i/>
          <w:sz w:val="24"/>
          <w:szCs w:val="24"/>
        </w:rPr>
        <w:t>Avrahami</w:t>
      </w:r>
      <w:r>
        <w:rPr>
          <w:rFonts w:ascii="Times New Roman" w:hAnsi="Times New Roman" w:cs="Times New Roman"/>
          <w:sz w:val="24"/>
          <w:szCs w:val="24"/>
        </w:rPr>
        <w:t xml:space="preserve"> can be found </w:t>
      </w:r>
      <w:hyperlink r:id="rId9" w:history="1">
        <w:r w:rsidRPr="0040211B">
          <w:rPr>
            <w:rStyle w:val="Hyperlink"/>
            <w:rFonts w:ascii="Times New Roman" w:hAnsi="Times New Roman" w:cs="Times New Roman"/>
            <w:sz w:val="24"/>
            <w:szCs w:val="24"/>
          </w:rPr>
          <w:t>here</w:t>
        </w:r>
      </w:hyperlink>
      <w:r>
        <w:rPr>
          <w:rFonts w:ascii="Times New Roman" w:hAnsi="Times New Roman" w:cs="Times New Roman"/>
          <w:sz w:val="24"/>
          <w:szCs w:val="24"/>
        </w:rPr>
        <w:t xml:space="preserve">.  </w:t>
      </w:r>
    </w:p>
    <w:p w14:paraId="3F8448FE" w14:textId="77777777" w:rsidR="000A2139" w:rsidRDefault="000A2139" w:rsidP="00B61CA0">
      <w:pPr>
        <w:spacing w:after="0" w:line="240" w:lineRule="auto"/>
        <w:rPr>
          <w:rFonts w:ascii="Times New Roman" w:hAnsi="Times New Roman" w:cs="Times New Roman"/>
          <w:sz w:val="24"/>
          <w:szCs w:val="24"/>
        </w:rPr>
      </w:pPr>
    </w:p>
    <w:p w14:paraId="50F106B9" w14:textId="77777777" w:rsidR="000A2139" w:rsidRDefault="000A2139" w:rsidP="00B61CA0">
      <w:pPr>
        <w:spacing w:after="0" w:line="240" w:lineRule="auto"/>
        <w:rPr>
          <w:rFonts w:ascii="Times New Roman" w:hAnsi="Times New Roman" w:cs="Times New Roman"/>
          <w:sz w:val="24"/>
          <w:szCs w:val="24"/>
        </w:rPr>
      </w:pPr>
      <w:r w:rsidRPr="00AB4A7F">
        <w:rPr>
          <w:rFonts w:ascii="Times New Roman" w:hAnsi="Times New Roman" w:cs="Times New Roman"/>
          <w:sz w:val="24"/>
          <w:szCs w:val="24"/>
        </w:rPr>
        <w:t xml:space="preserve">The issues memorandum filed by </w:t>
      </w:r>
      <w:r>
        <w:rPr>
          <w:rFonts w:ascii="Times New Roman" w:hAnsi="Times New Roman" w:cs="Times New Roman"/>
          <w:sz w:val="24"/>
          <w:szCs w:val="24"/>
        </w:rPr>
        <w:t xml:space="preserve">the government </w:t>
      </w:r>
      <w:r w:rsidRPr="00AB4A7F">
        <w:rPr>
          <w:rFonts w:ascii="Times New Roman" w:hAnsi="Times New Roman" w:cs="Times New Roman"/>
          <w:sz w:val="24"/>
          <w:szCs w:val="24"/>
        </w:rPr>
        <w:t xml:space="preserve">to address </w:t>
      </w:r>
      <w:r w:rsidRPr="00D66ED8">
        <w:rPr>
          <w:rFonts w:ascii="Times New Roman" w:hAnsi="Times New Roman" w:cs="Times New Roman"/>
          <w:i/>
          <w:sz w:val="24"/>
          <w:szCs w:val="24"/>
        </w:rPr>
        <w:t>Avrahami</w:t>
      </w:r>
      <w:r w:rsidRPr="00AB4A7F">
        <w:rPr>
          <w:rFonts w:ascii="Times New Roman" w:hAnsi="Times New Roman" w:cs="Times New Roman"/>
          <w:sz w:val="24"/>
          <w:szCs w:val="24"/>
        </w:rPr>
        <w:t xml:space="preserve"> can be found </w:t>
      </w:r>
      <w:hyperlink r:id="rId10" w:history="1">
        <w:r w:rsidRPr="0040211B">
          <w:rPr>
            <w:rStyle w:val="Hyperlink"/>
            <w:rFonts w:ascii="Times New Roman" w:hAnsi="Times New Roman" w:cs="Times New Roman"/>
            <w:sz w:val="24"/>
            <w:szCs w:val="24"/>
          </w:rPr>
          <w:t>here</w:t>
        </w:r>
      </w:hyperlink>
      <w:r w:rsidRPr="00AB4A7F">
        <w:rPr>
          <w:rFonts w:ascii="Times New Roman" w:hAnsi="Times New Roman" w:cs="Times New Roman"/>
          <w:sz w:val="24"/>
          <w:szCs w:val="24"/>
        </w:rPr>
        <w:t>.</w:t>
      </w:r>
      <w:r>
        <w:rPr>
          <w:rFonts w:ascii="Times New Roman" w:hAnsi="Times New Roman" w:cs="Times New Roman"/>
          <w:sz w:val="24"/>
          <w:szCs w:val="24"/>
        </w:rPr>
        <w:t xml:space="preserve">  </w:t>
      </w:r>
    </w:p>
    <w:p w14:paraId="499BC7DD" w14:textId="77777777" w:rsidR="000A2139" w:rsidRDefault="000A2139" w:rsidP="00B61CA0">
      <w:pPr>
        <w:spacing w:after="0" w:line="240" w:lineRule="auto"/>
        <w:rPr>
          <w:rFonts w:ascii="Times New Roman" w:hAnsi="Times New Roman" w:cs="Times New Roman"/>
          <w:sz w:val="24"/>
          <w:szCs w:val="24"/>
        </w:rPr>
      </w:pPr>
    </w:p>
    <w:p w14:paraId="784F4F42" w14:textId="77777777" w:rsidR="000A2139" w:rsidRPr="0036725A" w:rsidRDefault="000A2139" w:rsidP="00B61CA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Despite the significantly different facts and jurisdictional posture of </w:t>
      </w:r>
      <w:r w:rsidRPr="00846640">
        <w:rPr>
          <w:rFonts w:ascii="Times New Roman" w:hAnsi="Times New Roman" w:cs="Times New Roman"/>
          <w:i/>
          <w:sz w:val="24"/>
          <w:szCs w:val="24"/>
        </w:rPr>
        <w:t>Reserve</w:t>
      </w:r>
      <w:r>
        <w:rPr>
          <w:rFonts w:ascii="Times New Roman" w:hAnsi="Times New Roman" w:cs="Times New Roman"/>
          <w:sz w:val="24"/>
          <w:szCs w:val="24"/>
        </w:rPr>
        <w:t xml:space="preserve"> relative to </w:t>
      </w:r>
      <w:r w:rsidRPr="00846640">
        <w:rPr>
          <w:rFonts w:ascii="Times New Roman" w:hAnsi="Times New Roman" w:cs="Times New Roman"/>
          <w:i/>
          <w:sz w:val="24"/>
          <w:szCs w:val="24"/>
        </w:rPr>
        <w:t>Avrahami</w:t>
      </w:r>
      <w:r>
        <w:rPr>
          <w:rFonts w:ascii="Times New Roman" w:hAnsi="Times New Roman" w:cs="Times New Roman"/>
          <w:sz w:val="24"/>
          <w:szCs w:val="24"/>
        </w:rPr>
        <w:t xml:space="preserve"> (see below), the Court erred in remaking the facts of </w:t>
      </w:r>
      <w:r w:rsidRPr="00CE22DB">
        <w:rPr>
          <w:rFonts w:ascii="Times New Roman" w:hAnsi="Times New Roman" w:cs="Times New Roman"/>
          <w:i/>
          <w:sz w:val="24"/>
          <w:szCs w:val="24"/>
        </w:rPr>
        <w:t>Reserve</w:t>
      </w:r>
      <w:r>
        <w:rPr>
          <w:rFonts w:ascii="Times New Roman" w:hAnsi="Times New Roman" w:cs="Times New Roman"/>
          <w:sz w:val="24"/>
          <w:szCs w:val="24"/>
        </w:rPr>
        <w:t xml:space="preserve"> to fit into the legal findings of </w:t>
      </w:r>
      <w:r w:rsidRPr="00CE22DB">
        <w:rPr>
          <w:rFonts w:ascii="Times New Roman" w:hAnsi="Times New Roman" w:cs="Times New Roman"/>
          <w:i/>
          <w:sz w:val="24"/>
          <w:szCs w:val="24"/>
        </w:rPr>
        <w:t>Avrahami</w:t>
      </w:r>
      <w:r>
        <w:rPr>
          <w:rFonts w:ascii="Times New Roman" w:hAnsi="Times New Roman" w:cs="Times New Roman"/>
          <w:sz w:val="24"/>
          <w:szCs w:val="24"/>
        </w:rPr>
        <w:t>, while demonstrating a lack of understanding of how insurance works in the business community.  In doing so, the Court cast aside long-standing statutory provisions designed to encourage the formation of captive insurers by small and mid-size businesses.</w:t>
      </w:r>
    </w:p>
    <w:p w14:paraId="15A09F59" w14:textId="77777777" w:rsidR="000A2139" w:rsidRPr="0036725A" w:rsidRDefault="000A2139" w:rsidP="00B61CA0">
      <w:pPr>
        <w:spacing w:after="0" w:line="240" w:lineRule="auto"/>
        <w:rPr>
          <w:rFonts w:ascii="Times New Roman" w:hAnsi="Times New Roman" w:cs="Times New Roman"/>
          <w:sz w:val="24"/>
          <w:szCs w:val="24"/>
        </w:rPr>
      </w:pPr>
    </w:p>
    <w:p w14:paraId="4E0DE349" w14:textId="429C78CB" w:rsidR="000A2139" w:rsidRPr="0036725A" w:rsidRDefault="000A2139" w:rsidP="00B61CA0">
      <w:pPr>
        <w:spacing w:after="0" w:line="240" w:lineRule="auto"/>
        <w:rPr>
          <w:rFonts w:ascii="Times New Roman" w:hAnsi="Times New Roman" w:cs="Times New Roman"/>
          <w:sz w:val="24"/>
          <w:szCs w:val="24"/>
        </w:rPr>
      </w:pPr>
      <w:r w:rsidRPr="0036725A">
        <w:rPr>
          <w:rFonts w:ascii="Times New Roman" w:hAnsi="Times New Roman" w:cs="Times New Roman"/>
          <w:sz w:val="24"/>
          <w:szCs w:val="24"/>
        </w:rPr>
        <w:t>Reserve filed a Motion for Reconsideration with the Tax Court on July 18, 2018</w:t>
      </w:r>
      <w:r>
        <w:rPr>
          <w:rFonts w:ascii="Times New Roman" w:hAnsi="Times New Roman" w:cs="Times New Roman"/>
          <w:sz w:val="24"/>
          <w:szCs w:val="24"/>
        </w:rPr>
        <w:t xml:space="preserve"> on a single issue</w:t>
      </w:r>
      <w:r w:rsidRPr="0036725A">
        <w:rPr>
          <w:rFonts w:ascii="Times New Roman" w:hAnsi="Times New Roman" w:cs="Times New Roman"/>
          <w:sz w:val="24"/>
          <w:szCs w:val="24"/>
        </w:rPr>
        <w:t xml:space="preserve">, which can be found </w:t>
      </w:r>
      <w:hyperlink r:id="rId11" w:history="1">
        <w:r w:rsidRPr="0036725A">
          <w:rPr>
            <w:rStyle w:val="Hyperlink"/>
            <w:rFonts w:ascii="Times New Roman" w:hAnsi="Times New Roman" w:cs="Times New Roman"/>
            <w:sz w:val="24"/>
            <w:szCs w:val="24"/>
          </w:rPr>
          <w:t>here</w:t>
        </w:r>
      </w:hyperlink>
      <w:r w:rsidRPr="0036725A">
        <w:rPr>
          <w:rFonts w:ascii="Times New Roman" w:hAnsi="Times New Roman" w:cs="Times New Roman"/>
          <w:sz w:val="24"/>
          <w:szCs w:val="24"/>
        </w:rPr>
        <w:t>.</w:t>
      </w:r>
      <w:r>
        <w:rPr>
          <w:rStyle w:val="EndnoteReference"/>
          <w:rFonts w:ascii="Times New Roman" w:hAnsi="Times New Roman" w:cs="Times New Roman"/>
          <w:sz w:val="24"/>
          <w:szCs w:val="24"/>
        </w:rPr>
        <w:endnoteReference w:id="2"/>
      </w:r>
      <w:r>
        <w:rPr>
          <w:rFonts w:ascii="Times New Roman" w:hAnsi="Times New Roman" w:cs="Times New Roman"/>
          <w:sz w:val="24"/>
          <w:szCs w:val="24"/>
        </w:rPr>
        <w:t xml:space="preserve">  On August 17, 2018, the Court summarily denied the motion.  The order denying the motion can be found </w:t>
      </w:r>
      <w:hyperlink r:id="rId12" w:history="1">
        <w:r w:rsidRPr="000765CB">
          <w:rPr>
            <w:rStyle w:val="Hyperlink"/>
            <w:rFonts w:ascii="Times New Roman" w:hAnsi="Times New Roman" w:cs="Times New Roman"/>
            <w:sz w:val="24"/>
            <w:szCs w:val="24"/>
          </w:rPr>
          <w:t>here</w:t>
        </w:r>
      </w:hyperlink>
      <w:r>
        <w:rPr>
          <w:rFonts w:ascii="Times New Roman" w:hAnsi="Times New Roman" w:cs="Times New Roman"/>
          <w:sz w:val="24"/>
          <w:szCs w:val="24"/>
        </w:rPr>
        <w:t>.</w:t>
      </w:r>
    </w:p>
    <w:p w14:paraId="05D54C14" w14:textId="77777777" w:rsidR="000A2139" w:rsidRPr="0036725A" w:rsidRDefault="000A2139" w:rsidP="00B61CA0">
      <w:pPr>
        <w:spacing w:after="0" w:line="240" w:lineRule="auto"/>
        <w:rPr>
          <w:rFonts w:ascii="Times New Roman" w:hAnsi="Times New Roman" w:cs="Times New Roman"/>
          <w:sz w:val="24"/>
          <w:szCs w:val="24"/>
        </w:rPr>
      </w:pPr>
    </w:p>
    <w:p w14:paraId="62D44599" w14:textId="4C5578BE" w:rsidR="000A2139" w:rsidRDefault="000A2139" w:rsidP="00B61CA0">
      <w:pPr>
        <w:spacing w:after="0" w:line="240" w:lineRule="auto"/>
        <w:rPr>
          <w:rFonts w:ascii="Times New Roman" w:hAnsi="Times New Roman" w:cs="Times New Roman"/>
          <w:sz w:val="24"/>
          <w:szCs w:val="24"/>
        </w:rPr>
      </w:pPr>
      <w:r w:rsidRPr="0036725A">
        <w:rPr>
          <w:rFonts w:ascii="Times New Roman" w:hAnsi="Times New Roman" w:cs="Times New Roman"/>
          <w:sz w:val="24"/>
          <w:szCs w:val="24"/>
        </w:rPr>
        <w:t xml:space="preserve">Capstone’s initial statement and previous commentaries on the </w:t>
      </w:r>
      <w:r>
        <w:rPr>
          <w:rFonts w:ascii="Times New Roman" w:hAnsi="Times New Roman" w:cs="Times New Roman"/>
          <w:sz w:val="24"/>
          <w:szCs w:val="24"/>
        </w:rPr>
        <w:t>Court</w:t>
      </w:r>
      <w:r w:rsidRPr="0036725A">
        <w:rPr>
          <w:rFonts w:ascii="Times New Roman" w:hAnsi="Times New Roman" w:cs="Times New Roman"/>
          <w:sz w:val="24"/>
          <w:szCs w:val="24"/>
        </w:rPr>
        <w:t xml:space="preserve">’s Opinion can be found </w:t>
      </w:r>
      <w:hyperlink r:id="rId13" w:history="1">
        <w:r w:rsidRPr="0036725A">
          <w:rPr>
            <w:rStyle w:val="Hyperlink"/>
            <w:rFonts w:ascii="Times New Roman" w:hAnsi="Times New Roman" w:cs="Times New Roman"/>
            <w:sz w:val="24"/>
            <w:szCs w:val="24"/>
          </w:rPr>
          <w:t>here</w:t>
        </w:r>
      </w:hyperlink>
      <w:r w:rsidRPr="0036725A">
        <w:rPr>
          <w:rFonts w:ascii="Times New Roman" w:hAnsi="Times New Roman" w:cs="Times New Roman"/>
          <w:sz w:val="24"/>
          <w:szCs w:val="24"/>
        </w:rPr>
        <w:t>.</w:t>
      </w:r>
    </w:p>
    <w:p w14:paraId="047EF07A" w14:textId="77777777" w:rsidR="000A2139" w:rsidRDefault="000A2139" w:rsidP="00B61CA0">
      <w:pPr>
        <w:spacing w:after="0" w:line="240" w:lineRule="auto"/>
        <w:rPr>
          <w:rFonts w:ascii="Times New Roman" w:hAnsi="Times New Roman" w:cs="Times New Roman"/>
          <w:sz w:val="24"/>
          <w:szCs w:val="24"/>
        </w:rPr>
      </w:pPr>
    </w:p>
    <w:p w14:paraId="14DC2F65" w14:textId="77777777" w:rsidR="000A2139" w:rsidRPr="00D06467" w:rsidRDefault="000A2139" w:rsidP="00D06467">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As background, prior to the issuance of </w:t>
      </w:r>
      <w:r w:rsidRPr="005553C8">
        <w:rPr>
          <w:rFonts w:ascii="Times New Roman" w:hAnsi="Times New Roman" w:cs="Times New Roman"/>
          <w:i/>
          <w:sz w:val="24"/>
          <w:szCs w:val="24"/>
        </w:rPr>
        <w:t>Avrahami</w:t>
      </w:r>
      <w:r>
        <w:rPr>
          <w:rFonts w:ascii="Times New Roman" w:hAnsi="Times New Roman" w:cs="Times New Roman"/>
          <w:sz w:val="24"/>
          <w:szCs w:val="24"/>
        </w:rPr>
        <w:t xml:space="preserve"> in August 2017, whether an arrangement is treated as an insurance arrangement for federal income tax purposes had never been distinguished by courts on the basis of whether the insurer was reporting under Sections 501(c)(15),  831(a) or  831(b) of the Internal Revenue Code.</w:t>
      </w:r>
      <w:r>
        <w:rPr>
          <w:rStyle w:val="EndnoteReference"/>
          <w:rFonts w:ascii="Times New Roman" w:hAnsi="Times New Roman" w:cs="Times New Roman"/>
          <w:sz w:val="24"/>
          <w:szCs w:val="24"/>
        </w:rPr>
        <w:endnoteReference w:id="3"/>
      </w:r>
      <w:r>
        <w:rPr>
          <w:rFonts w:ascii="Times New Roman" w:hAnsi="Times New Roman" w:cs="Times New Roman"/>
          <w:sz w:val="24"/>
          <w:szCs w:val="24"/>
        </w:rPr>
        <w:t xml:space="preserve">  </w:t>
      </w:r>
      <w:r w:rsidRPr="008E5AF7">
        <w:rPr>
          <w:rFonts w:ascii="Times New Roman" w:hAnsi="Times New Roman" w:cs="Times New Roman"/>
          <w:i/>
          <w:sz w:val="24"/>
          <w:szCs w:val="24"/>
        </w:rPr>
        <w:t>Avrahami</w:t>
      </w:r>
      <w:r>
        <w:rPr>
          <w:rFonts w:ascii="Times New Roman" w:hAnsi="Times New Roman" w:cs="Times New Roman"/>
          <w:sz w:val="24"/>
          <w:szCs w:val="24"/>
        </w:rPr>
        <w:t xml:space="preserve"> was the first court case to decide this issue for a company seeking tax treatment under Section 831(b), and </w:t>
      </w:r>
      <w:r w:rsidRPr="00443ADC">
        <w:rPr>
          <w:rFonts w:ascii="Times New Roman" w:hAnsi="Times New Roman" w:cs="Times New Roman"/>
          <w:i/>
          <w:sz w:val="24"/>
          <w:szCs w:val="24"/>
        </w:rPr>
        <w:t>Reserve</w:t>
      </w:r>
      <w:r>
        <w:rPr>
          <w:rFonts w:ascii="Times New Roman" w:hAnsi="Times New Roman" w:cs="Times New Roman"/>
          <w:sz w:val="24"/>
          <w:szCs w:val="24"/>
        </w:rPr>
        <w:t xml:space="preserve"> was the first court case to decide this issue for a company seeking to be taxed under Section 501</w:t>
      </w:r>
      <w:r w:rsidRPr="009617C1">
        <w:rPr>
          <w:rFonts w:ascii="Times New Roman" w:hAnsi="Times New Roman" w:cs="Times New Roman"/>
          <w:sz w:val="24"/>
          <w:szCs w:val="24"/>
        </w:rPr>
        <w:t xml:space="preserve">(c)(15).  Previous case law addressing the taxation of captive insurance companies had </w:t>
      </w:r>
      <w:r w:rsidRPr="00D06467">
        <w:rPr>
          <w:rFonts w:ascii="Times New Roman" w:hAnsi="Times New Roman" w:cs="Times New Roman"/>
          <w:sz w:val="24"/>
          <w:szCs w:val="24"/>
        </w:rPr>
        <w:t>decided this issue with respect to companies seeking tax treatment under Section 831(a).</w:t>
      </w:r>
    </w:p>
    <w:p w14:paraId="5E12FC92" w14:textId="2683CC07" w:rsidR="000A2139" w:rsidRPr="00D06467" w:rsidRDefault="000A2139" w:rsidP="00D06467">
      <w:pPr>
        <w:spacing w:after="0" w:line="240" w:lineRule="auto"/>
        <w:rPr>
          <w:rFonts w:ascii="Times New Roman" w:hAnsi="Times New Roman" w:cs="Times New Roman"/>
          <w:sz w:val="24"/>
          <w:szCs w:val="24"/>
        </w:rPr>
      </w:pPr>
    </w:p>
    <w:p w14:paraId="2936E3BD" w14:textId="6C7D5BBF" w:rsidR="000A2139" w:rsidRPr="00D06467" w:rsidRDefault="000A2139" w:rsidP="00D06467">
      <w:pPr>
        <w:pStyle w:val="Heading1"/>
        <w:spacing w:before="0"/>
        <w:rPr>
          <w:rFonts w:ascii="Times New Roman" w:hAnsi="Times New Roman" w:cs="Times New Roman"/>
          <w:b/>
          <w:color w:val="auto"/>
          <w:sz w:val="24"/>
          <w:szCs w:val="24"/>
        </w:rPr>
      </w:pPr>
      <w:bookmarkStart w:id="4" w:name="_Toc534366163"/>
      <w:r w:rsidRPr="00D06467">
        <w:rPr>
          <w:rFonts w:ascii="Times New Roman" w:hAnsi="Times New Roman" w:cs="Times New Roman"/>
          <w:b/>
          <w:color w:val="auto"/>
          <w:sz w:val="24"/>
          <w:szCs w:val="24"/>
        </w:rPr>
        <w:t>I.  The Court Erred in Finding that Reserve did not have a Legitimate Nontax Purpose</w:t>
      </w:r>
      <w:bookmarkEnd w:id="4"/>
    </w:p>
    <w:p w14:paraId="3955C667" w14:textId="42EE0A38" w:rsidR="000A2139" w:rsidRPr="00D06467" w:rsidRDefault="000A2139" w:rsidP="00D06467">
      <w:pPr>
        <w:spacing w:after="0" w:line="240" w:lineRule="auto"/>
        <w:rPr>
          <w:rFonts w:ascii="Times New Roman" w:hAnsi="Times New Roman" w:cs="Times New Roman"/>
          <w:sz w:val="24"/>
          <w:szCs w:val="24"/>
          <w:u w:val="single"/>
        </w:rPr>
      </w:pPr>
    </w:p>
    <w:p w14:paraId="5F4143B9" w14:textId="4E52245E" w:rsidR="000A2139" w:rsidRDefault="000A2139" w:rsidP="00B61CA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w:t>
      </w:r>
      <w:r w:rsidRPr="00090B94">
        <w:rPr>
          <w:rFonts w:ascii="Times New Roman" w:hAnsi="Times New Roman" w:cs="Times New Roman"/>
          <w:i/>
          <w:sz w:val="24"/>
          <w:szCs w:val="24"/>
        </w:rPr>
        <w:t>Reserve</w:t>
      </w:r>
      <w:r>
        <w:rPr>
          <w:rFonts w:ascii="Times New Roman" w:hAnsi="Times New Roman" w:cs="Times New Roman"/>
          <w:sz w:val="24"/>
          <w:szCs w:val="24"/>
        </w:rPr>
        <w:t xml:space="preserve">, the Court failed to apply the proper legal standard of whether the formation of the captive had a legitimate nontax business purpose.  Instead, it made several incorrect assumptions without supporting evidence to conclude otherwise.  The Court ignored </w:t>
      </w:r>
      <w:r w:rsidRPr="002B5905">
        <w:rPr>
          <w:rFonts w:ascii="Times New Roman" w:hAnsi="Times New Roman" w:cs="Times New Roman"/>
          <w:sz w:val="24"/>
          <w:szCs w:val="24"/>
        </w:rPr>
        <w:t>the testimony of Reserve’s expert and fact witnesses</w:t>
      </w:r>
      <w:r>
        <w:rPr>
          <w:rFonts w:ascii="Times New Roman" w:hAnsi="Times New Roman" w:cs="Times New Roman"/>
          <w:sz w:val="24"/>
          <w:szCs w:val="24"/>
        </w:rPr>
        <w:t xml:space="preserve"> as well as</w:t>
      </w:r>
      <w:r w:rsidRPr="002B5905">
        <w:rPr>
          <w:rFonts w:ascii="Times New Roman" w:hAnsi="Times New Roman" w:cs="Times New Roman"/>
          <w:sz w:val="24"/>
          <w:szCs w:val="24"/>
        </w:rPr>
        <w:t xml:space="preserve"> </w:t>
      </w:r>
      <w:r>
        <w:rPr>
          <w:rFonts w:ascii="Times New Roman" w:hAnsi="Times New Roman" w:cs="Times New Roman"/>
          <w:sz w:val="24"/>
          <w:szCs w:val="24"/>
        </w:rPr>
        <w:t>the documentary evidence admitted at trial.</w:t>
      </w:r>
      <w:r>
        <w:rPr>
          <w:rStyle w:val="EndnoteReference"/>
          <w:rFonts w:ascii="Times New Roman" w:hAnsi="Times New Roman" w:cs="Times New Roman"/>
          <w:sz w:val="24"/>
          <w:szCs w:val="24"/>
        </w:rPr>
        <w:endnoteReference w:id="4"/>
      </w:r>
      <w:r>
        <w:rPr>
          <w:rFonts w:ascii="Times New Roman" w:hAnsi="Times New Roman" w:cs="Times New Roman"/>
          <w:sz w:val="24"/>
          <w:szCs w:val="24"/>
        </w:rPr>
        <w:t xml:space="preserve">  No evidence was offered by the government to support the Court’s finding that there was a lack of business purpose for Reserve’s insurance arrangement.</w:t>
      </w:r>
    </w:p>
    <w:p w14:paraId="74585FC5" w14:textId="77777777" w:rsidR="000A2139" w:rsidRDefault="000A2139" w:rsidP="00B61CA0">
      <w:pPr>
        <w:spacing w:after="0" w:line="240" w:lineRule="auto"/>
        <w:rPr>
          <w:rFonts w:ascii="Times New Roman" w:hAnsi="Times New Roman" w:cs="Times New Roman"/>
          <w:sz w:val="24"/>
          <w:szCs w:val="24"/>
        </w:rPr>
      </w:pPr>
    </w:p>
    <w:p w14:paraId="402C2CD7" w14:textId="20934D50" w:rsidR="000A2139" w:rsidRDefault="000A2139" w:rsidP="00B61CA0">
      <w:pPr>
        <w:spacing w:after="0" w:line="240" w:lineRule="auto"/>
        <w:rPr>
          <w:rFonts w:ascii="Times New Roman" w:hAnsi="Times New Roman" w:cs="Times New Roman"/>
          <w:sz w:val="24"/>
          <w:szCs w:val="24"/>
        </w:rPr>
      </w:pPr>
      <w:r>
        <w:rPr>
          <w:rFonts w:ascii="Times New Roman" w:hAnsi="Times New Roman" w:cs="Times New Roman"/>
          <w:sz w:val="24"/>
          <w:szCs w:val="24"/>
        </w:rPr>
        <w:t>The Court used this erroneous “lack of business purpose” conclusion as a basis for its numerous other incorrect findings.  There were at least five different statements in the Opinion where the Court either: (a) stated without explanation that Reserve’s captive insurance arrangement (and participation in the PoolRe pooling arrangement) did not have a legitimate nontax business purpose or (b) attempted to explain why it did not believe that the arrangement had a valid business purpose.</w:t>
      </w:r>
      <w:r>
        <w:rPr>
          <w:rStyle w:val="EndnoteReference"/>
          <w:rFonts w:ascii="Times New Roman" w:hAnsi="Times New Roman" w:cs="Times New Roman"/>
          <w:sz w:val="24"/>
          <w:szCs w:val="24"/>
        </w:rPr>
        <w:endnoteReference w:id="5"/>
      </w:r>
      <w:r>
        <w:rPr>
          <w:rFonts w:ascii="Times New Roman" w:hAnsi="Times New Roman" w:cs="Times New Roman"/>
          <w:sz w:val="24"/>
          <w:szCs w:val="24"/>
        </w:rPr>
        <w:t xml:space="preserve">  The Court’s </w:t>
      </w:r>
      <w:r w:rsidRPr="002F1CB6">
        <w:rPr>
          <w:rFonts w:ascii="Times New Roman" w:hAnsi="Times New Roman" w:cs="Times New Roman"/>
          <w:sz w:val="24"/>
          <w:szCs w:val="24"/>
        </w:rPr>
        <w:t xml:space="preserve">holdings were heavily </w:t>
      </w:r>
      <w:r>
        <w:rPr>
          <w:rFonts w:ascii="Times New Roman" w:hAnsi="Times New Roman" w:cs="Times New Roman"/>
          <w:sz w:val="24"/>
          <w:szCs w:val="24"/>
        </w:rPr>
        <w:t xml:space="preserve">influenced by </w:t>
      </w:r>
      <w:r w:rsidRPr="002F1CB6">
        <w:rPr>
          <w:rFonts w:ascii="Times New Roman" w:hAnsi="Times New Roman" w:cs="Times New Roman"/>
          <w:sz w:val="24"/>
          <w:szCs w:val="24"/>
        </w:rPr>
        <w:t xml:space="preserve">its </w:t>
      </w:r>
      <w:r>
        <w:rPr>
          <w:rFonts w:ascii="Times New Roman" w:hAnsi="Times New Roman" w:cs="Times New Roman"/>
          <w:sz w:val="24"/>
          <w:szCs w:val="24"/>
        </w:rPr>
        <w:t>use of an incorrect standard for determining the existence of a business purpose of Reserve’s insurance arrangement.</w:t>
      </w:r>
    </w:p>
    <w:p w14:paraId="5166988A" w14:textId="4E93B965" w:rsidR="000A2139" w:rsidRDefault="000A2139" w:rsidP="00B61CA0">
      <w:pPr>
        <w:spacing w:after="0" w:line="240" w:lineRule="auto"/>
        <w:rPr>
          <w:rFonts w:ascii="Times New Roman" w:hAnsi="Times New Roman" w:cs="Times New Roman"/>
          <w:sz w:val="24"/>
          <w:szCs w:val="24"/>
        </w:rPr>
      </w:pPr>
    </w:p>
    <w:p w14:paraId="143C2997" w14:textId="0B254285" w:rsidR="000A2139" w:rsidRDefault="000A2139" w:rsidP="00B61CA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As a threshold matter, it appears that the Court did not understand the well-recognized business reasons for forming a captive insurance company, such as to </w:t>
      </w:r>
      <w:r w:rsidRPr="00830F26">
        <w:rPr>
          <w:rFonts w:ascii="Times New Roman" w:hAnsi="Times New Roman" w:cs="Times New Roman"/>
          <w:sz w:val="24"/>
          <w:szCs w:val="24"/>
        </w:rPr>
        <w:t xml:space="preserve">fill-in gaps in coverage and </w:t>
      </w:r>
      <w:r>
        <w:rPr>
          <w:rFonts w:ascii="Times New Roman" w:hAnsi="Times New Roman" w:cs="Times New Roman"/>
          <w:sz w:val="24"/>
          <w:szCs w:val="24"/>
        </w:rPr>
        <w:t xml:space="preserve">enable the captive’s insured operating business(es) to </w:t>
      </w:r>
      <w:r w:rsidRPr="00830F26">
        <w:rPr>
          <w:rFonts w:ascii="Times New Roman" w:hAnsi="Times New Roman" w:cs="Times New Roman"/>
          <w:sz w:val="24"/>
          <w:szCs w:val="24"/>
        </w:rPr>
        <w:t xml:space="preserve">insure risks that are </w:t>
      </w:r>
      <w:r>
        <w:rPr>
          <w:rFonts w:ascii="Times New Roman" w:hAnsi="Times New Roman" w:cs="Times New Roman"/>
          <w:sz w:val="24"/>
          <w:szCs w:val="24"/>
        </w:rPr>
        <w:t xml:space="preserve">either </w:t>
      </w:r>
      <w:r w:rsidRPr="00830F26">
        <w:rPr>
          <w:rFonts w:ascii="Times New Roman" w:hAnsi="Times New Roman" w:cs="Times New Roman"/>
          <w:sz w:val="24"/>
          <w:szCs w:val="24"/>
        </w:rPr>
        <w:t xml:space="preserve">too costly or otherwise unavailable in the commercial </w:t>
      </w:r>
      <w:r>
        <w:rPr>
          <w:rFonts w:ascii="Times New Roman" w:hAnsi="Times New Roman" w:cs="Times New Roman"/>
          <w:sz w:val="24"/>
          <w:szCs w:val="24"/>
        </w:rPr>
        <w:t xml:space="preserve">insurance </w:t>
      </w:r>
      <w:r w:rsidRPr="00830F26">
        <w:rPr>
          <w:rFonts w:ascii="Times New Roman" w:hAnsi="Times New Roman" w:cs="Times New Roman"/>
          <w:sz w:val="24"/>
          <w:szCs w:val="24"/>
        </w:rPr>
        <w:t>marketplace.</w:t>
      </w:r>
      <w:r>
        <w:rPr>
          <w:rStyle w:val="EndnoteReference"/>
          <w:rFonts w:ascii="Times New Roman" w:hAnsi="Times New Roman" w:cs="Times New Roman"/>
          <w:sz w:val="24"/>
          <w:szCs w:val="24"/>
        </w:rPr>
        <w:endnoteReference w:id="6"/>
      </w:r>
      <w:r>
        <w:rPr>
          <w:rFonts w:ascii="Times New Roman" w:hAnsi="Times New Roman" w:cs="Times New Roman"/>
          <w:sz w:val="24"/>
          <w:szCs w:val="24"/>
        </w:rPr>
        <w:t xml:space="preserve">  The Court also did not discuss the well-established case law in the captive insurance area on the business purpose issue.  Those authorities are discussed below.</w:t>
      </w:r>
    </w:p>
    <w:p w14:paraId="647ACA31" w14:textId="0FE5E0BE" w:rsidR="000A2139" w:rsidRDefault="000A2139" w:rsidP="00B61CA0">
      <w:pPr>
        <w:spacing w:after="0" w:line="240" w:lineRule="auto"/>
        <w:rPr>
          <w:rFonts w:ascii="Times New Roman" w:hAnsi="Times New Roman" w:cs="Times New Roman"/>
          <w:sz w:val="24"/>
          <w:szCs w:val="24"/>
        </w:rPr>
      </w:pPr>
    </w:p>
    <w:p w14:paraId="68B8EDD1" w14:textId="12EC82AC" w:rsidR="000A2139" w:rsidRPr="006224AE" w:rsidRDefault="000A2139" w:rsidP="00410880">
      <w:pPr>
        <w:spacing w:after="0" w:line="240" w:lineRule="auto"/>
        <w:rPr>
          <w:rFonts w:ascii="Times New Roman" w:hAnsi="Times New Roman"/>
          <w:iCs/>
          <w:spacing w:val="-6"/>
          <w:sz w:val="24"/>
          <w:szCs w:val="24"/>
        </w:rPr>
      </w:pPr>
      <w:r w:rsidRPr="00136142">
        <w:rPr>
          <w:rFonts w:ascii="Times New Roman" w:hAnsi="Times New Roman"/>
          <w:i/>
          <w:iCs/>
          <w:spacing w:val="-6"/>
          <w:sz w:val="24"/>
          <w:szCs w:val="24"/>
        </w:rPr>
        <w:t>United Parcel Service of America, Inc. v. Commissioner (“UPS”)</w:t>
      </w:r>
      <w:r>
        <w:rPr>
          <w:rFonts w:ascii="Times New Roman" w:hAnsi="Times New Roman"/>
          <w:iCs/>
          <w:spacing w:val="-6"/>
          <w:sz w:val="24"/>
          <w:szCs w:val="24"/>
        </w:rPr>
        <w:t>,</w:t>
      </w:r>
      <w:r>
        <w:rPr>
          <w:rStyle w:val="EndnoteReference"/>
          <w:rFonts w:ascii="Times New Roman" w:hAnsi="Times New Roman"/>
          <w:iCs/>
          <w:spacing w:val="-6"/>
          <w:sz w:val="24"/>
          <w:szCs w:val="24"/>
        </w:rPr>
        <w:endnoteReference w:id="7"/>
      </w:r>
      <w:r>
        <w:rPr>
          <w:rFonts w:ascii="Times New Roman" w:hAnsi="Times New Roman"/>
          <w:iCs/>
          <w:spacing w:val="-6"/>
          <w:sz w:val="24"/>
          <w:szCs w:val="24"/>
        </w:rPr>
        <w:t xml:space="preserve"> a case decided by the Eleventh Circuit Court of Appeals in 2001, is a leading case on what constitutes a valid business purpose for both a captive insurance arrangement and a reinsurance arrangement under which a third party agrees to reinsure some portion of the risks underwritten or assumed by a captive.  </w:t>
      </w:r>
      <w:r w:rsidRPr="00856E56">
        <w:rPr>
          <w:rFonts w:ascii="Times New Roman" w:hAnsi="Times New Roman"/>
          <w:iCs/>
          <w:spacing w:val="-6"/>
          <w:sz w:val="24"/>
          <w:szCs w:val="24"/>
        </w:rPr>
        <w:t xml:space="preserve">UPS had </w:t>
      </w:r>
      <w:r>
        <w:rPr>
          <w:rFonts w:ascii="Times New Roman" w:hAnsi="Times New Roman"/>
          <w:iCs/>
          <w:spacing w:val="-6"/>
          <w:sz w:val="24"/>
          <w:szCs w:val="24"/>
        </w:rPr>
        <w:t xml:space="preserve">historically </w:t>
      </w:r>
      <w:r w:rsidRPr="00856E56">
        <w:rPr>
          <w:rFonts w:ascii="Times New Roman" w:hAnsi="Times New Roman"/>
          <w:iCs/>
          <w:spacing w:val="-6"/>
          <w:sz w:val="24"/>
          <w:szCs w:val="24"/>
        </w:rPr>
        <w:t>made a lucrative profit from its “excess value charges” (i.e., shipping insurance premiums paid by UPS’s customers to insure packages having a value in excess of $100) that were paid by customers for many years and had diligently tracked these shipments so that loss claims were relatively low.  UPS</w:t>
      </w:r>
      <w:r>
        <w:rPr>
          <w:rFonts w:ascii="Times New Roman" w:hAnsi="Times New Roman"/>
          <w:iCs/>
          <w:spacing w:val="-6"/>
          <w:sz w:val="24"/>
          <w:szCs w:val="24"/>
        </w:rPr>
        <w:t xml:space="preserve"> decided to restructure its excess-value business, and in doing so,</w:t>
      </w:r>
      <w:r w:rsidRPr="00856E56">
        <w:rPr>
          <w:rFonts w:ascii="Times New Roman" w:hAnsi="Times New Roman"/>
          <w:iCs/>
          <w:spacing w:val="-6"/>
          <w:sz w:val="24"/>
          <w:szCs w:val="24"/>
        </w:rPr>
        <w:t xml:space="preserve"> </w:t>
      </w:r>
      <w:r>
        <w:rPr>
          <w:rFonts w:ascii="Times New Roman" w:hAnsi="Times New Roman"/>
          <w:iCs/>
          <w:spacing w:val="-6"/>
          <w:sz w:val="24"/>
          <w:szCs w:val="24"/>
        </w:rPr>
        <w:t>paid premiums equal to</w:t>
      </w:r>
      <w:r w:rsidRPr="00856E56">
        <w:rPr>
          <w:rFonts w:ascii="Times New Roman" w:hAnsi="Times New Roman"/>
          <w:iCs/>
          <w:spacing w:val="-6"/>
          <w:sz w:val="24"/>
          <w:szCs w:val="24"/>
        </w:rPr>
        <w:t xml:space="preserve"> the excess value charges (net, after claims) to </w:t>
      </w:r>
      <w:r>
        <w:rPr>
          <w:rFonts w:ascii="Times New Roman" w:hAnsi="Times New Roman"/>
          <w:iCs/>
          <w:spacing w:val="-6"/>
          <w:sz w:val="24"/>
          <w:szCs w:val="24"/>
        </w:rPr>
        <w:t>an</w:t>
      </w:r>
      <w:r w:rsidRPr="00856E56">
        <w:rPr>
          <w:rFonts w:ascii="Times New Roman" w:hAnsi="Times New Roman"/>
          <w:iCs/>
          <w:spacing w:val="-6"/>
          <w:sz w:val="24"/>
          <w:szCs w:val="24"/>
        </w:rPr>
        <w:t xml:space="preserve"> independent insurer, National Fire Insurance Company (“National”).  UPS continued to handle and process the claims on behalf of the insurer.  National forwarded the net funds that it received, less a commission, to UPS’s </w:t>
      </w:r>
      <w:r>
        <w:rPr>
          <w:rFonts w:ascii="Times New Roman" w:hAnsi="Times New Roman"/>
          <w:iCs/>
          <w:spacing w:val="-6"/>
          <w:sz w:val="24"/>
          <w:szCs w:val="24"/>
        </w:rPr>
        <w:t xml:space="preserve">newly formed </w:t>
      </w:r>
      <w:r w:rsidRPr="00856E56">
        <w:rPr>
          <w:rFonts w:ascii="Times New Roman" w:hAnsi="Times New Roman"/>
          <w:iCs/>
          <w:spacing w:val="-6"/>
          <w:sz w:val="24"/>
          <w:szCs w:val="24"/>
        </w:rPr>
        <w:t xml:space="preserve">Bermuda captive, Overseas Partners </w:t>
      </w:r>
      <w:r w:rsidRPr="00856E56">
        <w:rPr>
          <w:rFonts w:ascii="Times New Roman" w:hAnsi="Times New Roman"/>
          <w:iCs/>
          <w:spacing w:val="-6"/>
          <w:sz w:val="24"/>
          <w:szCs w:val="24"/>
        </w:rPr>
        <w:lastRenderedPageBreak/>
        <w:t>Limited (“OPL”)</w:t>
      </w:r>
      <w:r>
        <w:rPr>
          <w:rFonts w:ascii="Times New Roman" w:hAnsi="Times New Roman"/>
          <w:iCs/>
          <w:spacing w:val="-6"/>
          <w:sz w:val="24"/>
          <w:szCs w:val="24"/>
        </w:rPr>
        <w:t xml:space="preserve"> in exchange for OPL agreeing to assume risk commensurate with the risk insured by National Union with respect to UPS’s excess-value business</w:t>
      </w:r>
      <w:r w:rsidRPr="00856E56">
        <w:rPr>
          <w:rFonts w:ascii="Times New Roman" w:hAnsi="Times New Roman"/>
          <w:iCs/>
          <w:spacing w:val="-6"/>
          <w:sz w:val="24"/>
          <w:szCs w:val="24"/>
        </w:rPr>
        <w:t>.</w:t>
      </w:r>
      <w:r>
        <w:rPr>
          <w:rFonts w:ascii="Times New Roman" w:hAnsi="Times New Roman"/>
          <w:iCs/>
          <w:spacing w:val="-6"/>
          <w:sz w:val="24"/>
          <w:szCs w:val="24"/>
        </w:rPr>
        <w:t xml:space="preserve">  The Eleventh Circuit held</w:t>
      </w:r>
      <w:r w:rsidRPr="006224AE">
        <w:rPr>
          <w:rFonts w:ascii="Times New Roman" w:hAnsi="Times New Roman"/>
          <w:iCs/>
          <w:spacing w:val="-6"/>
          <w:sz w:val="24"/>
          <w:szCs w:val="24"/>
        </w:rPr>
        <w:t xml:space="preserve"> that </w:t>
      </w:r>
      <w:r>
        <w:rPr>
          <w:rFonts w:ascii="Times New Roman" w:hAnsi="Times New Roman"/>
          <w:iCs/>
          <w:spacing w:val="-6"/>
          <w:sz w:val="24"/>
          <w:szCs w:val="24"/>
        </w:rPr>
        <w:t>this captive</w:t>
      </w:r>
      <w:r w:rsidRPr="006224AE">
        <w:rPr>
          <w:rFonts w:ascii="Times New Roman" w:hAnsi="Times New Roman"/>
          <w:iCs/>
          <w:spacing w:val="-6"/>
          <w:sz w:val="24"/>
          <w:szCs w:val="24"/>
        </w:rPr>
        <w:t xml:space="preserve"> insurance arrangement was valid</w:t>
      </w:r>
      <w:r>
        <w:rPr>
          <w:rFonts w:ascii="Times New Roman" w:hAnsi="Times New Roman"/>
          <w:iCs/>
          <w:spacing w:val="-6"/>
          <w:sz w:val="24"/>
          <w:szCs w:val="24"/>
        </w:rPr>
        <w:t>,</w:t>
      </w:r>
      <w:r w:rsidRPr="006224AE">
        <w:rPr>
          <w:rFonts w:ascii="Times New Roman" w:hAnsi="Times New Roman"/>
          <w:iCs/>
          <w:spacing w:val="-6"/>
          <w:sz w:val="24"/>
          <w:szCs w:val="24"/>
        </w:rPr>
        <w:t xml:space="preserve"> and that UPS could take a d</w:t>
      </w:r>
      <w:r>
        <w:rPr>
          <w:rFonts w:ascii="Times New Roman" w:hAnsi="Times New Roman"/>
          <w:iCs/>
          <w:spacing w:val="-6"/>
          <w:sz w:val="24"/>
          <w:szCs w:val="24"/>
        </w:rPr>
        <w:t>e</w:t>
      </w:r>
      <w:r w:rsidRPr="006224AE">
        <w:rPr>
          <w:rFonts w:ascii="Times New Roman" w:hAnsi="Times New Roman"/>
          <w:iCs/>
          <w:spacing w:val="-6"/>
          <w:sz w:val="24"/>
          <w:szCs w:val="24"/>
        </w:rPr>
        <w:t xml:space="preserve">duction for insurance premiums paid </w:t>
      </w:r>
      <w:r>
        <w:rPr>
          <w:rFonts w:ascii="Times New Roman" w:hAnsi="Times New Roman"/>
          <w:iCs/>
          <w:spacing w:val="-6"/>
          <w:sz w:val="24"/>
          <w:szCs w:val="24"/>
        </w:rPr>
        <w:t>under the captive arrangement</w:t>
      </w:r>
      <w:r w:rsidRPr="006224AE">
        <w:rPr>
          <w:rFonts w:ascii="Times New Roman" w:hAnsi="Times New Roman"/>
          <w:iCs/>
          <w:spacing w:val="-6"/>
          <w:sz w:val="24"/>
          <w:szCs w:val="24"/>
        </w:rPr>
        <w:t xml:space="preserve">.  The language </w:t>
      </w:r>
      <w:r>
        <w:rPr>
          <w:rFonts w:ascii="Times New Roman" w:hAnsi="Times New Roman"/>
          <w:iCs/>
          <w:spacing w:val="-6"/>
          <w:sz w:val="24"/>
          <w:szCs w:val="24"/>
        </w:rPr>
        <w:t xml:space="preserve">below in </w:t>
      </w:r>
      <w:r w:rsidRPr="000674D7">
        <w:rPr>
          <w:rFonts w:ascii="Times New Roman" w:hAnsi="Times New Roman"/>
          <w:i/>
          <w:iCs/>
          <w:spacing w:val="-6"/>
          <w:sz w:val="24"/>
          <w:szCs w:val="24"/>
        </w:rPr>
        <w:t>UPS</w:t>
      </w:r>
      <w:r>
        <w:rPr>
          <w:rFonts w:ascii="Times New Roman" w:hAnsi="Times New Roman"/>
          <w:iCs/>
          <w:spacing w:val="-6"/>
          <w:sz w:val="24"/>
          <w:szCs w:val="24"/>
        </w:rPr>
        <w:t xml:space="preserve"> </w:t>
      </w:r>
      <w:r w:rsidRPr="006224AE">
        <w:rPr>
          <w:rFonts w:ascii="Times New Roman" w:hAnsi="Times New Roman"/>
          <w:iCs/>
          <w:spacing w:val="-6"/>
          <w:sz w:val="24"/>
          <w:szCs w:val="24"/>
        </w:rPr>
        <w:t xml:space="preserve">from the </w:t>
      </w:r>
      <w:r>
        <w:rPr>
          <w:rFonts w:ascii="Times New Roman" w:hAnsi="Times New Roman"/>
          <w:iCs/>
          <w:spacing w:val="-6"/>
          <w:sz w:val="24"/>
          <w:szCs w:val="24"/>
        </w:rPr>
        <w:t>Eleventh Circuit is</w:t>
      </w:r>
      <w:r w:rsidRPr="006224AE">
        <w:rPr>
          <w:rFonts w:ascii="Times New Roman" w:hAnsi="Times New Roman"/>
          <w:iCs/>
          <w:spacing w:val="-6"/>
          <w:sz w:val="24"/>
          <w:szCs w:val="24"/>
        </w:rPr>
        <w:t xml:space="preserve"> </w:t>
      </w:r>
      <w:r>
        <w:rPr>
          <w:rFonts w:ascii="Times New Roman" w:hAnsi="Times New Roman"/>
          <w:iCs/>
          <w:spacing w:val="-6"/>
          <w:sz w:val="24"/>
          <w:szCs w:val="24"/>
        </w:rPr>
        <w:t>instructive</w:t>
      </w:r>
      <w:r w:rsidRPr="006224AE">
        <w:rPr>
          <w:rFonts w:ascii="Times New Roman" w:hAnsi="Times New Roman"/>
          <w:iCs/>
          <w:spacing w:val="-6"/>
          <w:sz w:val="24"/>
          <w:szCs w:val="24"/>
        </w:rPr>
        <w:t>:</w:t>
      </w:r>
    </w:p>
    <w:p w14:paraId="1988473E" w14:textId="77777777" w:rsidR="000A2139" w:rsidRDefault="000A2139" w:rsidP="00410880">
      <w:pPr>
        <w:spacing w:after="0" w:line="240" w:lineRule="auto"/>
        <w:rPr>
          <w:rFonts w:ascii="Times New Roman" w:hAnsi="Times New Roman"/>
          <w:iCs/>
          <w:spacing w:val="-6"/>
          <w:sz w:val="24"/>
          <w:szCs w:val="24"/>
        </w:rPr>
      </w:pPr>
    </w:p>
    <w:p w14:paraId="1C21CC13" w14:textId="77777777" w:rsidR="000A2139" w:rsidRDefault="000A2139" w:rsidP="00410880">
      <w:pPr>
        <w:spacing w:after="0" w:line="240" w:lineRule="auto"/>
        <w:ind w:left="720"/>
        <w:rPr>
          <w:rFonts w:ascii="Times New Roman" w:hAnsi="Times New Roman"/>
          <w:iCs/>
          <w:spacing w:val="-6"/>
          <w:sz w:val="24"/>
          <w:szCs w:val="24"/>
        </w:rPr>
      </w:pPr>
      <w:r w:rsidRPr="006224AE">
        <w:rPr>
          <w:rFonts w:ascii="Times New Roman" w:hAnsi="Times New Roman"/>
          <w:iCs/>
          <w:spacing w:val="-6"/>
          <w:sz w:val="24"/>
          <w:szCs w:val="24"/>
        </w:rPr>
        <w:t xml:space="preserve">“There was a real insurance policy between UPS and National Union that gave National Union the right to receive the excess-value charges that UPS collected. </w:t>
      </w:r>
      <w:r w:rsidRPr="001756CB">
        <w:rPr>
          <w:rFonts w:ascii="Times New Roman" w:hAnsi="Times New Roman"/>
          <w:iCs/>
          <w:spacing w:val="-6"/>
          <w:sz w:val="24"/>
          <w:szCs w:val="24"/>
        </w:rPr>
        <w:t>And even if the odds of losing money on the policy were slim, National Union had assumed liability for the losses of UPS’s excess-value shippers, again a genuine obligation.</w:t>
      </w:r>
      <w:r w:rsidRPr="006224AE">
        <w:rPr>
          <w:rFonts w:ascii="Times New Roman" w:hAnsi="Times New Roman"/>
          <w:iCs/>
          <w:spacing w:val="-6"/>
          <w:sz w:val="24"/>
          <w:szCs w:val="24"/>
        </w:rPr>
        <w:t xml:space="preserve"> </w:t>
      </w:r>
      <w:r w:rsidRPr="00877573">
        <w:rPr>
          <w:rFonts w:ascii="Times New Roman" w:hAnsi="Times New Roman"/>
          <w:b/>
          <w:iCs/>
          <w:spacing w:val="-6"/>
          <w:sz w:val="24"/>
          <w:szCs w:val="24"/>
        </w:rPr>
        <w:t>A history of not losing money on a policy is no guarantee of such a future. Insurance companies indeed do not make a habit of issuing policies whose premiums do not exceed the claims anticipated, but that fact does not imply that insurance companies do not bear risk. Nor did the reinsurance treaty with OPL, while certainly reducing the odds of loss, completely foreclose the risk of loss because reinsurance treaties, like all agreements, are susceptible to default</w:t>
      </w:r>
      <w:r w:rsidRPr="006224AE">
        <w:rPr>
          <w:rFonts w:ascii="Times New Roman" w:hAnsi="Times New Roman"/>
          <w:iCs/>
          <w:spacing w:val="-6"/>
          <w:sz w:val="24"/>
          <w:szCs w:val="24"/>
        </w:rPr>
        <w:t>.”</w:t>
      </w:r>
      <w:r>
        <w:rPr>
          <w:rStyle w:val="EndnoteReference"/>
          <w:rFonts w:ascii="Times New Roman" w:hAnsi="Times New Roman"/>
          <w:iCs/>
          <w:spacing w:val="-6"/>
          <w:sz w:val="24"/>
          <w:szCs w:val="24"/>
        </w:rPr>
        <w:endnoteReference w:id="8"/>
      </w:r>
    </w:p>
    <w:p w14:paraId="579EB15E" w14:textId="77777777" w:rsidR="000A2139" w:rsidRDefault="000A2139" w:rsidP="00410880">
      <w:pPr>
        <w:spacing w:after="0" w:line="240" w:lineRule="auto"/>
        <w:ind w:left="720"/>
        <w:rPr>
          <w:rFonts w:ascii="Times New Roman" w:hAnsi="Times New Roman" w:cs="Times New Roman"/>
          <w:sz w:val="24"/>
          <w:szCs w:val="24"/>
        </w:rPr>
      </w:pPr>
    </w:p>
    <w:p w14:paraId="7E075363" w14:textId="77777777" w:rsidR="000A2139" w:rsidRDefault="000A2139" w:rsidP="00410880">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w:t>
      </w:r>
      <w:r w:rsidRPr="00190F46">
        <w:rPr>
          <w:rFonts w:ascii="Times New Roman" w:hAnsi="Times New Roman" w:cs="Times New Roman"/>
          <w:sz w:val="24"/>
          <w:szCs w:val="24"/>
        </w:rPr>
        <w:t>The transaction under challenge here simply altered the form of an existing, bona fide business, and this case therefore falls in with those that find an adequate business purpose to neutralize any tax-avoidance motive. True, UPS</w:t>
      </w:r>
      <w:r>
        <w:rPr>
          <w:rFonts w:ascii="Times New Roman" w:hAnsi="Times New Roman" w:cs="Times New Roman"/>
          <w:sz w:val="24"/>
          <w:szCs w:val="24"/>
        </w:rPr>
        <w:t>’</w:t>
      </w:r>
      <w:r w:rsidRPr="00190F46">
        <w:rPr>
          <w:rFonts w:ascii="Times New Roman" w:hAnsi="Times New Roman" w:cs="Times New Roman"/>
          <w:sz w:val="24"/>
          <w:szCs w:val="24"/>
        </w:rPr>
        <w:t xml:space="preserve">s restructuring was more sophisticated and complex than the usual tax-influenced form-of-business election or a choice of debt over equity financing. But its sophistication does not change the fact that </w:t>
      </w:r>
      <w:r w:rsidRPr="003A3EAB">
        <w:rPr>
          <w:rFonts w:ascii="Times New Roman" w:hAnsi="Times New Roman" w:cs="Times New Roman"/>
          <w:b/>
          <w:sz w:val="24"/>
          <w:szCs w:val="24"/>
        </w:rPr>
        <w:t>there was a real business that served the genuine need for customers to enjoy loss coverage and for UPS to lower its liability exposure</w:t>
      </w:r>
      <w:r>
        <w:rPr>
          <w:rFonts w:ascii="Times New Roman" w:hAnsi="Times New Roman" w:cs="Times New Roman"/>
          <w:sz w:val="24"/>
          <w:szCs w:val="24"/>
        </w:rPr>
        <w:t xml:space="preserve">… </w:t>
      </w:r>
      <w:r w:rsidRPr="00190F46">
        <w:rPr>
          <w:rFonts w:ascii="Times New Roman" w:hAnsi="Times New Roman" w:cs="Times New Roman"/>
          <w:sz w:val="24"/>
          <w:szCs w:val="24"/>
        </w:rPr>
        <w:t>We therefore conclude that UPS</w:t>
      </w:r>
      <w:r>
        <w:rPr>
          <w:rFonts w:ascii="Times New Roman" w:hAnsi="Times New Roman" w:cs="Times New Roman"/>
          <w:sz w:val="24"/>
          <w:szCs w:val="24"/>
        </w:rPr>
        <w:t>’</w:t>
      </w:r>
      <w:r w:rsidRPr="00190F46">
        <w:rPr>
          <w:rFonts w:ascii="Times New Roman" w:hAnsi="Times New Roman" w:cs="Times New Roman"/>
          <w:sz w:val="24"/>
          <w:szCs w:val="24"/>
        </w:rPr>
        <w:t>s restructuring of its excess-value business had both real economic effects and a business purpose, and it therefore under our precedent had sufficient economic substance to merit respect in taxation.</w:t>
      </w:r>
      <w:r>
        <w:rPr>
          <w:rFonts w:ascii="Times New Roman" w:hAnsi="Times New Roman" w:cs="Times New Roman"/>
          <w:sz w:val="24"/>
          <w:szCs w:val="24"/>
        </w:rPr>
        <w:t>”</w:t>
      </w:r>
      <w:r>
        <w:rPr>
          <w:rStyle w:val="EndnoteReference"/>
          <w:rFonts w:ascii="Times New Roman" w:hAnsi="Times New Roman" w:cs="Times New Roman"/>
          <w:sz w:val="24"/>
          <w:szCs w:val="24"/>
        </w:rPr>
        <w:endnoteReference w:id="9"/>
      </w:r>
    </w:p>
    <w:p w14:paraId="7A1700E9" w14:textId="77777777" w:rsidR="000A2139" w:rsidRPr="00E40F89" w:rsidRDefault="000A2139" w:rsidP="00410880">
      <w:pPr>
        <w:spacing w:after="0" w:line="240" w:lineRule="auto"/>
        <w:ind w:left="720"/>
        <w:rPr>
          <w:rFonts w:ascii="Times New Roman" w:hAnsi="Times New Roman" w:cs="Times New Roman"/>
          <w:sz w:val="24"/>
          <w:szCs w:val="24"/>
        </w:rPr>
      </w:pPr>
    </w:p>
    <w:p w14:paraId="5F8AE5E6" w14:textId="42F5C51E" w:rsidR="000A2139" w:rsidRDefault="000A2139" w:rsidP="0041088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Similar to UPS restructuring its excess-value business by forming a captive combined with a reinsurance arrangement (with National Union and OPL), both the formation of Reserve to insure Peak and Reserve entering into the pooling reinsurance arrangement with PoolRe served a legitimate business purpose.  Each of Reserve’s direct issued policies met the genuine needs that Peak had for each of the coverages identified in Peak’s feasibility study.  Further, as Dr. Doherty concluded in his expert report, PoolRe shifted a material portion of Reserve’s risk of loss to the other participants in the pooling arrangement in exchange for Reserve assuming risks of unrelated captive participants, with the </w:t>
      </w:r>
      <w:r w:rsidRPr="005154B8">
        <w:rPr>
          <w:rFonts w:ascii="Times New Roman" w:hAnsi="Times New Roman" w:cs="Times New Roman"/>
          <w:sz w:val="24"/>
          <w:szCs w:val="24"/>
        </w:rPr>
        <w:t xml:space="preserve">risks of all participating captives </w:t>
      </w:r>
      <w:r>
        <w:rPr>
          <w:rFonts w:ascii="Times New Roman" w:hAnsi="Times New Roman" w:cs="Times New Roman"/>
          <w:sz w:val="24"/>
          <w:szCs w:val="24"/>
        </w:rPr>
        <w:t>being</w:t>
      </w:r>
      <w:r w:rsidRPr="005154B8">
        <w:rPr>
          <w:rFonts w:ascii="Times New Roman" w:hAnsi="Times New Roman" w:cs="Times New Roman"/>
          <w:sz w:val="24"/>
          <w:szCs w:val="24"/>
        </w:rPr>
        <w:t xml:space="preserve"> blended for the collective benefit of all participants</w:t>
      </w:r>
      <w:r>
        <w:rPr>
          <w:rFonts w:ascii="Times New Roman" w:hAnsi="Times New Roman" w:cs="Times New Roman"/>
          <w:sz w:val="24"/>
          <w:szCs w:val="24"/>
        </w:rPr>
        <w:t>.</w:t>
      </w:r>
      <w:r>
        <w:rPr>
          <w:rStyle w:val="EndnoteReference"/>
          <w:rFonts w:ascii="Times New Roman" w:hAnsi="Times New Roman" w:cs="Times New Roman"/>
          <w:sz w:val="24"/>
          <w:szCs w:val="24"/>
        </w:rPr>
        <w:endnoteReference w:id="10"/>
      </w:r>
      <w:r>
        <w:rPr>
          <w:rFonts w:ascii="Times New Roman" w:hAnsi="Times New Roman" w:cs="Times New Roman"/>
          <w:sz w:val="24"/>
          <w:szCs w:val="24"/>
        </w:rPr>
        <w:t xml:space="preserve">  </w:t>
      </w:r>
      <w:r w:rsidRPr="005154B8">
        <w:rPr>
          <w:rFonts w:ascii="Times New Roman" w:hAnsi="Times New Roman" w:cs="Times New Roman"/>
          <w:sz w:val="24"/>
          <w:szCs w:val="24"/>
        </w:rPr>
        <w:t xml:space="preserve">The fact that PoolRe did not have a history of paying claims for the three </w:t>
      </w:r>
      <w:r>
        <w:rPr>
          <w:rFonts w:ascii="Times New Roman" w:hAnsi="Times New Roman" w:cs="Times New Roman"/>
          <w:sz w:val="24"/>
          <w:szCs w:val="24"/>
        </w:rPr>
        <w:t xml:space="preserve">isolated </w:t>
      </w:r>
      <w:r w:rsidRPr="005154B8">
        <w:rPr>
          <w:rFonts w:ascii="Times New Roman" w:hAnsi="Times New Roman" w:cs="Times New Roman"/>
          <w:sz w:val="24"/>
          <w:szCs w:val="24"/>
        </w:rPr>
        <w:t xml:space="preserve">years at issue (2008 – 2010) did not guarantee that PoolRe would not potentially have to pay future claims.  Even if the odds of PoolRe paying a claim in a given year were slim, </w:t>
      </w:r>
      <w:r w:rsidRPr="00C43D49">
        <w:rPr>
          <w:rFonts w:ascii="Times New Roman" w:hAnsi="Times New Roman" w:cs="Times New Roman"/>
          <w:sz w:val="24"/>
          <w:szCs w:val="24"/>
        </w:rPr>
        <w:t xml:space="preserve">PoolRe assumed liability for a layer of Reserve’s losses and each other participant’s losses, which was a genuine obligation for which PoolRe bore a significant amount of risk.  Section V(A)(6) of this commentary discusses in further detail the legitimate nontax business reasons for which PoolRe was created, as well as arguing that a showing of such </w:t>
      </w:r>
      <w:r w:rsidR="00C43D49">
        <w:rPr>
          <w:rFonts w:ascii="Times New Roman" w:hAnsi="Times New Roman" w:cs="Times New Roman"/>
          <w:sz w:val="24"/>
          <w:szCs w:val="24"/>
        </w:rPr>
        <w:t xml:space="preserve">a </w:t>
      </w:r>
      <w:r w:rsidRPr="00C43D49">
        <w:rPr>
          <w:rFonts w:ascii="Times New Roman" w:hAnsi="Times New Roman" w:cs="Times New Roman"/>
          <w:sz w:val="24"/>
          <w:szCs w:val="24"/>
        </w:rPr>
        <w:t>business purpose by PoolRe is not required under existing case law.</w:t>
      </w:r>
    </w:p>
    <w:p w14:paraId="6EE99397" w14:textId="11CFFF12" w:rsidR="000A2139" w:rsidRDefault="000A2139" w:rsidP="00410880">
      <w:pPr>
        <w:spacing w:after="0" w:line="240" w:lineRule="auto"/>
        <w:rPr>
          <w:rFonts w:ascii="Times New Roman" w:hAnsi="Times New Roman" w:cs="Times New Roman"/>
          <w:sz w:val="24"/>
          <w:szCs w:val="24"/>
        </w:rPr>
      </w:pPr>
    </w:p>
    <w:p w14:paraId="737908B6" w14:textId="29E54FD0" w:rsidR="000A2139" w:rsidRDefault="000A2139" w:rsidP="00F329E1">
      <w:pPr>
        <w:spacing w:after="0" w:line="240" w:lineRule="auto"/>
        <w:rPr>
          <w:rFonts w:ascii="Times New Roman" w:hAnsi="Times New Roman" w:cs="Times New Roman"/>
          <w:sz w:val="24"/>
          <w:szCs w:val="24"/>
        </w:rPr>
      </w:pPr>
      <w:r w:rsidRPr="007F5035">
        <w:rPr>
          <w:rFonts w:ascii="Times New Roman" w:hAnsi="Times New Roman" w:cs="Times New Roman"/>
          <w:i/>
          <w:sz w:val="24"/>
          <w:szCs w:val="24"/>
        </w:rPr>
        <w:lastRenderedPageBreak/>
        <w:t>Humana, Inc. v. Commissioner</w:t>
      </w:r>
      <w:r w:rsidRPr="0061497A">
        <w:rPr>
          <w:rStyle w:val="EndnoteReference"/>
          <w:rFonts w:ascii="Times New Roman" w:hAnsi="Times New Roman" w:cs="Times New Roman"/>
          <w:sz w:val="24"/>
          <w:szCs w:val="24"/>
        </w:rPr>
        <w:endnoteReference w:id="11"/>
      </w:r>
      <w:r w:rsidRPr="0061497A">
        <w:rPr>
          <w:rFonts w:ascii="Times New Roman" w:hAnsi="Times New Roman" w:cs="Times New Roman"/>
          <w:sz w:val="24"/>
          <w:szCs w:val="24"/>
        </w:rPr>
        <w:t xml:space="preserve"> </w:t>
      </w:r>
      <w:r>
        <w:rPr>
          <w:rFonts w:ascii="Times New Roman" w:hAnsi="Times New Roman" w:cs="Times New Roman"/>
          <w:sz w:val="24"/>
          <w:szCs w:val="24"/>
        </w:rPr>
        <w:t xml:space="preserve">is another cornerstone captive insurance case that discusses a valid business purpose for forming a captive insurance company.  In </w:t>
      </w:r>
      <w:r w:rsidRPr="00CE1008">
        <w:rPr>
          <w:rFonts w:ascii="Times New Roman" w:hAnsi="Times New Roman" w:cs="Times New Roman"/>
          <w:i/>
          <w:sz w:val="24"/>
          <w:szCs w:val="24"/>
        </w:rPr>
        <w:t>Humana</w:t>
      </w:r>
      <w:r>
        <w:rPr>
          <w:rFonts w:ascii="Times New Roman" w:hAnsi="Times New Roman" w:cs="Times New Roman"/>
          <w:sz w:val="24"/>
          <w:szCs w:val="24"/>
        </w:rPr>
        <w:t xml:space="preserve">, </w:t>
      </w:r>
      <w:r w:rsidRPr="007F5035">
        <w:rPr>
          <w:rFonts w:ascii="Times New Roman" w:hAnsi="Times New Roman" w:cs="Times New Roman"/>
          <w:sz w:val="24"/>
          <w:szCs w:val="24"/>
        </w:rPr>
        <w:t>the</w:t>
      </w:r>
      <w:r>
        <w:rPr>
          <w:rFonts w:ascii="Times New Roman" w:hAnsi="Times New Roman" w:cs="Times New Roman"/>
          <w:sz w:val="24"/>
          <w:szCs w:val="24"/>
        </w:rPr>
        <w:t xml:space="preserve"> Sixth Circuit</w:t>
      </w:r>
      <w:r w:rsidRPr="007F5035">
        <w:rPr>
          <w:rFonts w:ascii="Times New Roman" w:hAnsi="Times New Roman" w:cs="Times New Roman"/>
          <w:sz w:val="24"/>
          <w:szCs w:val="24"/>
        </w:rPr>
        <w:t xml:space="preserve"> upheld the deductibility of premiums paid to a captive insurance company</w:t>
      </w:r>
      <w:r>
        <w:rPr>
          <w:rFonts w:ascii="Times New Roman" w:hAnsi="Times New Roman" w:cs="Times New Roman"/>
          <w:sz w:val="24"/>
          <w:szCs w:val="24"/>
        </w:rPr>
        <w:t>, Health Care Indemnity,</w:t>
      </w:r>
      <w:r w:rsidRPr="007F5035">
        <w:rPr>
          <w:rFonts w:ascii="Times New Roman" w:hAnsi="Times New Roman" w:cs="Times New Roman"/>
          <w:sz w:val="24"/>
          <w:szCs w:val="24"/>
        </w:rPr>
        <w:t xml:space="preserve"> by its brother-sister corporations, which were subsidiaries of Humana, the parent company.</w:t>
      </w:r>
      <w:r>
        <w:rPr>
          <w:rFonts w:ascii="Times New Roman" w:hAnsi="Times New Roman" w:cs="Times New Roman"/>
          <w:sz w:val="24"/>
          <w:szCs w:val="24"/>
        </w:rPr>
        <w:t xml:space="preserve">  The Sixth Circuit </w:t>
      </w:r>
      <w:r w:rsidRPr="007F5035">
        <w:rPr>
          <w:rFonts w:ascii="Times New Roman" w:hAnsi="Times New Roman" w:cs="Times New Roman"/>
          <w:sz w:val="24"/>
          <w:szCs w:val="24"/>
        </w:rPr>
        <w:t xml:space="preserve">applied a narrower balance sheet approach instead of the IRS’s promoted </w:t>
      </w:r>
      <w:r>
        <w:rPr>
          <w:rFonts w:ascii="Times New Roman" w:hAnsi="Times New Roman" w:cs="Times New Roman"/>
          <w:sz w:val="24"/>
          <w:szCs w:val="24"/>
        </w:rPr>
        <w:t>“</w:t>
      </w:r>
      <w:r w:rsidRPr="007F5035">
        <w:rPr>
          <w:rFonts w:ascii="Times New Roman" w:hAnsi="Times New Roman" w:cs="Times New Roman"/>
          <w:sz w:val="24"/>
          <w:szCs w:val="24"/>
        </w:rPr>
        <w:t>economic family theory,</w:t>
      </w:r>
      <w:r>
        <w:rPr>
          <w:rFonts w:ascii="Times New Roman" w:hAnsi="Times New Roman" w:cs="Times New Roman"/>
          <w:sz w:val="24"/>
          <w:szCs w:val="24"/>
        </w:rPr>
        <w:t>”</w:t>
      </w:r>
      <w:r w:rsidRPr="007F5035">
        <w:rPr>
          <w:rFonts w:ascii="Times New Roman" w:hAnsi="Times New Roman" w:cs="Times New Roman"/>
          <w:sz w:val="24"/>
          <w:szCs w:val="24"/>
        </w:rPr>
        <w:t xml:space="preserve"> which </w:t>
      </w:r>
      <w:r>
        <w:rPr>
          <w:rFonts w:ascii="Times New Roman" w:hAnsi="Times New Roman" w:cs="Times New Roman"/>
          <w:sz w:val="24"/>
          <w:szCs w:val="24"/>
        </w:rPr>
        <w:t xml:space="preserve">it </w:t>
      </w:r>
      <w:r w:rsidRPr="007F5035">
        <w:rPr>
          <w:rFonts w:ascii="Times New Roman" w:hAnsi="Times New Roman" w:cs="Times New Roman"/>
          <w:sz w:val="24"/>
          <w:szCs w:val="24"/>
        </w:rPr>
        <w:t>specifically rejected</w:t>
      </w:r>
      <w:r>
        <w:rPr>
          <w:rFonts w:ascii="Times New Roman" w:hAnsi="Times New Roman" w:cs="Times New Roman"/>
          <w:sz w:val="24"/>
          <w:szCs w:val="24"/>
        </w:rPr>
        <w:t xml:space="preserve">.  In discussing the issue of whether Humana had a valid business purpose for forming its captive, the Sixth Circuit noted that the Tax Court had found that that Humana had a valid business purpose for incorporating Health Care Indemnity, since </w:t>
      </w:r>
      <w:r w:rsidRPr="00B20ABA">
        <w:rPr>
          <w:rFonts w:ascii="Times New Roman" w:hAnsi="Times New Roman" w:cs="Times New Roman"/>
          <w:sz w:val="24"/>
          <w:szCs w:val="24"/>
        </w:rPr>
        <w:t xml:space="preserve">Humana, a hospital chain with enormous risk exposure, found itself without coverage </w:t>
      </w:r>
      <w:r>
        <w:rPr>
          <w:rFonts w:ascii="Times New Roman" w:hAnsi="Times New Roman" w:cs="Times New Roman"/>
          <w:sz w:val="24"/>
          <w:szCs w:val="24"/>
        </w:rPr>
        <w:t>after</w:t>
      </w:r>
      <w:r w:rsidRPr="00B20ABA">
        <w:rPr>
          <w:rFonts w:ascii="Times New Roman" w:hAnsi="Times New Roman" w:cs="Times New Roman"/>
          <w:sz w:val="24"/>
          <w:szCs w:val="24"/>
        </w:rPr>
        <w:t xml:space="preserve"> its </w:t>
      </w:r>
      <w:r>
        <w:rPr>
          <w:rFonts w:ascii="Times New Roman" w:hAnsi="Times New Roman" w:cs="Times New Roman"/>
          <w:sz w:val="24"/>
          <w:szCs w:val="24"/>
        </w:rPr>
        <w:t>coverage</w:t>
      </w:r>
      <w:r w:rsidRPr="00B20ABA">
        <w:rPr>
          <w:rFonts w:ascii="Times New Roman" w:hAnsi="Times New Roman" w:cs="Times New Roman"/>
          <w:sz w:val="24"/>
          <w:szCs w:val="24"/>
        </w:rPr>
        <w:t xml:space="preserve"> </w:t>
      </w:r>
      <w:r>
        <w:rPr>
          <w:rFonts w:ascii="Times New Roman" w:hAnsi="Times New Roman" w:cs="Times New Roman"/>
          <w:sz w:val="24"/>
          <w:szCs w:val="24"/>
        </w:rPr>
        <w:t xml:space="preserve">was cancelled by its commercial carrier, </w:t>
      </w:r>
      <w:r w:rsidRPr="00F607DE">
        <w:rPr>
          <w:rFonts w:ascii="Times New Roman" w:hAnsi="Times New Roman" w:cs="Times New Roman"/>
          <w:sz w:val="24"/>
          <w:szCs w:val="24"/>
        </w:rPr>
        <w:t>Continental Insurance Co.</w:t>
      </w:r>
      <w:r>
        <w:rPr>
          <w:rFonts w:ascii="Times New Roman" w:hAnsi="Times New Roman" w:cs="Times New Roman"/>
          <w:sz w:val="24"/>
          <w:szCs w:val="24"/>
        </w:rPr>
        <w:t xml:space="preserve"> (Continental).  Continental had previously </w:t>
      </w:r>
      <w:r w:rsidRPr="00FF09AF">
        <w:rPr>
          <w:rFonts w:ascii="Times New Roman" w:hAnsi="Times New Roman" w:cs="Times New Roman"/>
          <w:sz w:val="24"/>
          <w:szCs w:val="24"/>
        </w:rPr>
        <w:t xml:space="preserve">provided </w:t>
      </w:r>
      <w:r>
        <w:rPr>
          <w:rFonts w:ascii="Times New Roman" w:hAnsi="Times New Roman" w:cs="Times New Roman"/>
          <w:sz w:val="24"/>
          <w:szCs w:val="24"/>
        </w:rPr>
        <w:t>Humana</w:t>
      </w:r>
      <w:r w:rsidRPr="00FF09AF">
        <w:rPr>
          <w:rFonts w:ascii="Times New Roman" w:hAnsi="Times New Roman" w:cs="Times New Roman"/>
          <w:sz w:val="24"/>
          <w:szCs w:val="24"/>
        </w:rPr>
        <w:t xml:space="preserve"> with general liability insurance, including malpractice liability and workers</w:t>
      </w:r>
      <w:r>
        <w:rPr>
          <w:rFonts w:ascii="Times New Roman" w:hAnsi="Times New Roman" w:cs="Times New Roman"/>
          <w:sz w:val="24"/>
          <w:szCs w:val="24"/>
        </w:rPr>
        <w:t>’</w:t>
      </w:r>
      <w:r w:rsidRPr="00FF09AF">
        <w:rPr>
          <w:rFonts w:ascii="Times New Roman" w:hAnsi="Times New Roman" w:cs="Times New Roman"/>
          <w:sz w:val="24"/>
          <w:szCs w:val="24"/>
        </w:rPr>
        <w:t xml:space="preserve"> compensation insurance</w:t>
      </w:r>
      <w:r>
        <w:rPr>
          <w:rFonts w:ascii="Times New Roman" w:hAnsi="Times New Roman" w:cs="Times New Roman"/>
          <w:sz w:val="24"/>
          <w:szCs w:val="24"/>
        </w:rPr>
        <w:t xml:space="preserve">.  </w:t>
      </w:r>
      <w:r w:rsidRPr="00616441">
        <w:rPr>
          <w:rFonts w:ascii="Times New Roman" w:hAnsi="Times New Roman" w:cs="Times New Roman"/>
          <w:sz w:val="24"/>
          <w:szCs w:val="24"/>
        </w:rPr>
        <w:t xml:space="preserve">Due to changing rules, economic inflation, and misjudgments, insurers were adjusting their loss reserves and premiums in </w:t>
      </w:r>
      <w:r>
        <w:rPr>
          <w:rFonts w:ascii="Times New Roman" w:hAnsi="Times New Roman" w:cs="Times New Roman"/>
          <w:sz w:val="24"/>
          <w:szCs w:val="24"/>
        </w:rPr>
        <w:t xml:space="preserve">the 1980s for </w:t>
      </w:r>
      <w:r w:rsidRPr="00616441">
        <w:rPr>
          <w:rFonts w:ascii="Times New Roman" w:hAnsi="Times New Roman" w:cs="Times New Roman"/>
          <w:sz w:val="24"/>
          <w:szCs w:val="24"/>
        </w:rPr>
        <w:t xml:space="preserve">many lines of casualty insurance, including malpractice insurance. </w:t>
      </w:r>
      <w:r>
        <w:rPr>
          <w:rFonts w:ascii="Times New Roman" w:hAnsi="Times New Roman" w:cs="Times New Roman"/>
          <w:sz w:val="24"/>
          <w:szCs w:val="24"/>
        </w:rPr>
        <w:t xml:space="preserve"> The Sixth Circuit found that Humana</w:t>
      </w:r>
      <w:r w:rsidRPr="00B20ABA">
        <w:rPr>
          <w:rFonts w:ascii="Times New Roman" w:hAnsi="Times New Roman" w:cs="Times New Roman"/>
          <w:sz w:val="24"/>
          <w:szCs w:val="24"/>
        </w:rPr>
        <w:t xml:space="preserve"> faced an obvious dilemma and acted in a legitimate manner in seeking to find an answer</w:t>
      </w:r>
      <w:r>
        <w:rPr>
          <w:rFonts w:ascii="Times New Roman" w:hAnsi="Times New Roman" w:cs="Times New Roman"/>
          <w:sz w:val="24"/>
          <w:szCs w:val="24"/>
        </w:rPr>
        <w:t xml:space="preserve"> by forming its captive to insure risks that were no longer covered by commercial insurance after it had </w:t>
      </w:r>
      <w:r w:rsidRPr="00616441">
        <w:rPr>
          <w:rFonts w:ascii="Times New Roman" w:hAnsi="Times New Roman" w:cs="Times New Roman"/>
          <w:sz w:val="24"/>
          <w:szCs w:val="24"/>
        </w:rPr>
        <w:t>attempted to obtain general and professional liability insurance from third-party insurers</w:t>
      </w:r>
      <w:r>
        <w:rPr>
          <w:rFonts w:ascii="Times New Roman" w:hAnsi="Times New Roman" w:cs="Times New Roman"/>
          <w:sz w:val="24"/>
          <w:szCs w:val="24"/>
        </w:rPr>
        <w:t xml:space="preserve"> </w:t>
      </w:r>
      <w:r w:rsidRPr="00616441">
        <w:rPr>
          <w:rFonts w:ascii="Times New Roman" w:hAnsi="Times New Roman" w:cs="Times New Roman"/>
          <w:sz w:val="24"/>
          <w:szCs w:val="24"/>
        </w:rPr>
        <w:t>but was unsuccessful.</w:t>
      </w:r>
      <w:r>
        <w:rPr>
          <w:rFonts w:ascii="Times New Roman" w:hAnsi="Times New Roman" w:cs="Times New Roman"/>
          <w:sz w:val="24"/>
          <w:szCs w:val="24"/>
        </w:rPr>
        <w:t xml:space="preserve">  </w:t>
      </w:r>
      <w:r w:rsidRPr="00CC0977">
        <w:rPr>
          <w:rFonts w:ascii="Times New Roman" w:hAnsi="Times New Roman" w:cs="Times New Roman"/>
          <w:sz w:val="24"/>
          <w:szCs w:val="24"/>
        </w:rPr>
        <w:t xml:space="preserve">The </w:t>
      </w:r>
      <w:r>
        <w:rPr>
          <w:rFonts w:ascii="Times New Roman" w:hAnsi="Times New Roman" w:cs="Times New Roman"/>
          <w:sz w:val="24"/>
          <w:szCs w:val="24"/>
        </w:rPr>
        <w:t xml:space="preserve">language from the Sixth Circuit in </w:t>
      </w:r>
      <w:r w:rsidRPr="001522DE">
        <w:rPr>
          <w:rFonts w:ascii="Times New Roman" w:hAnsi="Times New Roman" w:cs="Times New Roman"/>
          <w:i/>
          <w:sz w:val="24"/>
          <w:szCs w:val="24"/>
        </w:rPr>
        <w:t>Humana</w:t>
      </w:r>
      <w:r>
        <w:rPr>
          <w:rFonts w:ascii="Times New Roman" w:hAnsi="Times New Roman" w:cs="Times New Roman"/>
          <w:sz w:val="24"/>
          <w:szCs w:val="24"/>
        </w:rPr>
        <w:t xml:space="preserve"> regarding what constitutes a valid business purpose for forming a captive is usef</w:t>
      </w:r>
      <w:r w:rsidRPr="00CC0977">
        <w:rPr>
          <w:rFonts w:ascii="Times New Roman" w:hAnsi="Times New Roman" w:cs="Times New Roman"/>
          <w:sz w:val="24"/>
          <w:szCs w:val="24"/>
        </w:rPr>
        <w:t>ul:</w:t>
      </w:r>
    </w:p>
    <w:p w14:paraId="6B120E27" w14:textId="2EB5F078" w:rsidR="000A2139" w:rsidRDefault="000A2139" w:rsidP="00E3130D">
      <w:pPr>
        <w:spacing w:after="0" w:line="240" w:lineRule="auto"/>
        <w:ind w:firstLine="720"/>
        <w:rPr>
          <w:rFonts w:ascii="Times New Roman" w:hAnsi="Times New Roman" w:cs="Times New Roman"/>
          <w:sz w:val="24"/>
          <w:szCs w:val="24"/>
        </w:rPr>
      </w:pPr>
    </w:p>
    <w:p w14:paraId="14D700A4" w14:textId="5C830568" w:rsidR="000A2139" w:rsidRPr="005154B8" w:rsidRDefault="000A2139" w:rsidP="008571D5">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w:t>
      </w:r>
      <w:r w:rsidRPr="006B3586">
        <w:rPr>
          <w:rFonts w:ascii="Times New Roman" w:hAnsi="Times New Roman" w:cs="Times New Roman"/>
          <w:sz w:val="24"/>
          <w:szCs w:val="24"/>
        </w:rPr>
        <w:t xml:space="preserve">In general, absent specific congressional intent to the contrary, as is the situation in this case, a court cannot disregard a transaction in the name of economic reality and substance over form </w:t>
      </w:r>
      <w:r w:rsidRPr="008571D5">
        <w:rPr>
          <w:rFonts w:ascii="Times New Roman" w:hAnsi="Times New Roman" w:cs="Times New Roman"/>
          <w:b/>
          <w:sz w:val="24"/>
          <w:szCs w:val="24"/>
        </w:rPr>
        <w:t>absent a finding of sham or lack of business purpose</w:t>
      </w:r>
      <w:r w:rsidRPr="006B3586">
        <w:rPr>
          <w:rFonts w:ascii="Times New Roman" w:hAnsi="Times New Roman" w:cs="Times New Roman"/>
          <w:sz w:val="24"/>
          <w:szCs w:val="24"/>
        </w:rPr>
        <w:t xml:space="preserve"> under the relevant tax statute</w:t>
      </w:r>
      <w:r>
        <w:rPr>
          <w:rFonts w:ascii="Times New Roman" w:hAnsi="Times New Roman" w:cs="Times New Roman"/>
          <w:sz w:val="24"/>
          <w:szCs w:val="24"/>
        </w:rPr>
        <w:t xml:space="preserve">…. </w:t>
      </w:r>
      <w:r w:rsidRPr="008571D5">
        <w:rPr>
          <w:rFonts w:ascii="Times New Roman" w:hAnsi="Times New Roman" w:cs="Times New Roman"/>
          <w:sz w:val="24"/>
          <w:szCs w:val="24"/>
        </w:rPr>
        <w:t xml:space="preserve">In the instant case, the tax court found that Humana had a valid business purpose for incorporating Health Care Indemnity. </w:t>
      </w:r>
      <w:r w:rsidRPr="00223B0E">
        <w:rPr>
          <w:rFonts w:ascii="Times New Roman" w:hAnsi="Times New Roman" w:cs="Times New Roman"/>
          <w:b/>
          <w:sz w:val="24"/>
          <w:szCs w:val="24"/>
        </w:rPr>
        <w:t>Congress has manifested no intent to disregard the separate corporate entity in the context of captive insurers</w:t>
      </w:r>
      <w:r w:rsidRPr="008571D5">
        <w:rPr>
          <w:rFonts w:ascii="Times New Roman" w:hAnsi="Times New Roman" w:cs="Times New Roman"/>
          <w:sz w:val="24"/>
          <w:szCs w:val="24"/>
        </w:rPr>
        <w:t xml:space="preserve">. In short, the substance over form or economic reality argument under current legal application does not provide any justification for the tax court to reclassify the insurance premiums paid by the subsidiaries of Humana Inc. as nondeductible additions to a reserve for losses. The test to determine whether a transaction under </w:t>
      </w:r>
      <w:r>
        <w:rPr>
          <w:rFonts w:ascii="Times New Roman" w:hAnsi="Times New Roman" w:cs="Times New Roman"/>
          <w:sz w:val="24"/>
          <w:szCs w:val="24"/>
        </w:rPr>
        <w:t>[</w:t>
      </w:r>
      <w:r w:rsidRPr="008571D5">
        <w:rPr>
          <w:rFonts w:ascii="Times New Roman" w:hAnsi="Times New Roman" w:cs="Times New Roman"/>
          <w:sz w:val="24"/>
          <w:szCs w:val="24"/>
        </w:rPr>
        <w:t>the Internal Revenue Code</w:t>
      </w:r>
      <w:r>
        <w:rPr>
          <w:rFonts w:ascii="Times New Roman" w:hAnsi="Times New Roman" w:cs="Times New Roman"/>
          <w:sz w:val="24"/>
          <w:szCs w:val="24"/>
        </w:rPr>
        <w:t xml:space="preserve">] </w:t>
      </w:r>
      <w:r w:rsidRPr="008571D5">
        <w:rPr>
          <w:rFonts w:ascii="Times New Roman" w:hAnsi="Times New Roman" w:cs="Times New Roman"/>
          <w:sz w:val="24"/>
          <w:szCs w:val="24"/>
        </w:rPr>
        <w:t xml:space="preserve">is legitimate or illegitimate is not a vague and broad </w:t>
      </w:r>
      <w:r>
        <w:rPr>
          <w:rFonts w:ascii="Times New Roman" w:hAnsi="Times New Roman" w:cs="Times New Roman"/>
          <w:sz w:val="24"/>
          <w:szCs w:val="24"/>
        </w:rPr>
        <w:t>“</w:t>
      </w:r>
      <w:r w:rsidRPr="008571D5">
        <w:rPr>
          <w:rFonts w:ascii="Times New Roman" w:hAnsi="Times New Roman" w:cs="Times New Roman"/>
          <w:sz w:val="24"/>
          <w:szCs w:val="24"/>
        </w:rPr>
        <w:t>economic reality</w:t>
      </w:r>
      <w:r>
        <w:rPr>
          <w:rFonts w:ascii="Times New Roman" w:hAnsi="Times New Roman" w:cs="Times New Roman"/>
          <w:sz w:val="24"/>
          <w:szCs w:val="24"/>
        </w:rPr>
        <w:t>”</w:t>
      </w:r>
      <w:r w:rsidRPr="008571D5">
        <w:rPr>
          <w:rFonts w:ascii="Times New Roman" w:hAnsi="Times New Roman" w:cs="Times New Roman"/>
          <w:sz w:val="24"/>
          <w:szCs w:val="24"/>
        </w:rPr>
        <w:t xml:space="preserve"> test. The test is whether there is risk shifting and risk distribution. Only if a transaction fails to meet the above two-pronged test can the court justifiably reclassify the transaction as something other than insurance.</w:t>
      </w:r>
      <w:r>
        <w:rPr>
          <w:rFonts w:ascii="Times New Roman" w:hAnsi="Times New Roman" w:cs="Times New Roman"/>
          <w:sz w:val="24"/>
          <w:szCs w:val="24"/>
        </w:rPr>
        <w:t>”</w:t>
      </w:r>
      <w:r>
        <w:rPr>
          <w:rStyle w:val="EndnoteReference"/>
          <w:rFonts w:ascii="Times New Roman" w:hAnsi="Times New Roman" w:cs="Times New Roman"/>
          <w:sz w:val="24"/>
          <w:szCs w:val="24"/>
        </w:rPr>
        <w:endnoteReference w:id="12"/>
      </w:r>
    </w:p>
    <w:p w14:paraId="2D6EB652" w14:textId="21AFF676" w:rsidR="000A2139" w:rsidRDefault="000A2139" w:rsidP="00B61CA0">
      <w:pPr>
        <w:spacing w:after="0" w:line="240" w:lineRule="auto"/>
        <w:rPr>
          <w:rFonts w:ascii="Times New Roman" w:hAnsi="Times New Roman" w:cs="Times New Roman"/>
          <w:sz w:val="24"/>
          <w:szCs w:val="24"/>
        </w:rPr>
      </w:pPr>
      <w:bookmarkStart w:id="5" w:name="_Hlk533769713"/>
    </w:p>
    <w:p w14:paraId="768ECA88" w14:textId="07D2D44C" w:rsidR="000A2139" w:rsidRDefault="000A2139" w:rsidP="00B61CA0">
      <w:pPr>
        <w:spacing w:after="0" w:line="240" w:lineRule="auto"/>
        <w:rPr>
          <w:rFonts w:ascii="Times New Roman" w:hAnsi="Times New Roman" w:cs="Times New Roman"/>
          <w:sz w:val="24"/>
          <w:szCs w:val="24"/>
        </w:rPr>
      </w:pPr>
      <w:r w:rsidRPr="00851125">
        <w:rPr>
          <w:rFonts w:ascii="Times New Roman" w:hAnsi="Times New Roman" w:cs="Times New Roman"/>
          <w:sz w:val="24"/>
          <w:szCs w:val="24"/>
        </w:rPr>
        <w:t xml:space="preserve">The </w:t>
      </w:r>
      <w:r>
        <w:rPr>
          <w:rFonts w:ascii="Times New Roman" w:hAnsi="Times New Roman" w:cs="Times New Roman"/>
          <w:sz w:val="24"/>
          <w:szCs w:val="24"/>
        </w:rPr>
        <w:t xml:space="preserve">evidence at trial established that the </w:t>
      </w:r>
      <w:r w:rsidRPr="00851125">
        <w:rPr>
          <w:rFonts w:ascii="Times New Roman" w:hAnsi="Times New Roman" w:cs="Times New Roman"/>
          <w:sz w:val="24"/>
          <w:szCs w:val="24"/>
        </w:rPr>
        <w:t xml:space="preserve">formation of Reserve served a legitimate nontax business purpose, </w:t>
      </w:r>
      <w:r w:rsidRPr="00AB3484">
        <w:rPr>
          <w:rFonts w:ascii="Times New Roman" w:hAnsi="Times New Roman" w:cs="Times New Roman"/>
          <w:sz w:val="24"/>
          <w:szCs w:val="24"/>
        </w:rPr>
        <w:t>which was similar to the b</w:t>
      </w:r>
      <w:r w:rsidRPr="00851125">
        <w:rPr>
          <w:rFonts w:ascii="Times New Roman" w:hAnsi="Times New Roman" w:cs="Times New Roman"/>
          <w:sz w:val="24"/>
          <w:szCs w:val="24"/>
        </w:rPr>
        <w:t>usiness purpose found</w:t>
      </w:r>
      <w:r>
        <w:rPr>
          <w:rFonts w:ascii="Times New Roman" w:hAnsi="Times New Roman" w:cs="Times New Roman"/>
          <w:sz w:val="24"/>
          <w:szCs w:val="24"/>
        </w:rPr>
        <w:t xml:space="preserve"> </w:t>
      </w:r>
      <w:r w:rsidRPr="00851125">
        <w:rPr>
          <w:rFonts w:ascii="Times New Roman" w:hAnsi="Times New Roman" w:cs="Times New Roman"/>
          <w:sz w:val="24"/>
          <w:szCs w:val="24"/>
        </w:rPr>
        <w:t>in</w:t>
      </w:r>
      <w:r>
        <w:rPr>
          <w:rFonts w:ascii="Times New Roman" w:hAnsi="Times New Roman" w:cs="Times New Roman"/>
          <w:sz w:val="24"/>
          <w:szCs w:val="24"/>
        </w:rPr>
        <w:t xml:space="preserve"> both</w:t>
      </w:r>
      <w:r w:rsidRPr="00851125">
        <w:rPr>
          <w:rFonts w:ascii="Times New Roman" w:hAnsi="Times New Roman" w:cs="Times New Roman"/>
          <w:sz w:val="24"/>
          <w:szCs w:val="24"/>
        </w:rPr>
        <w:t xml:space="preserve"> </w:t>
      </w:r>
      <w:r w:rsidRPr="00851125">
        <w:rPr>
          <w:rFonts w:ascii="Times New Roman" w:hAnsi="Times New Roman" w:cs="Times New Roman"/>
          <w:i/>
          <w:sz w:val="24"/>
          <w:szCs w:val="24"/>
        </w:rPr>
        <w:t>UPS</w:t>
      </w:r>
      <w:r w:rsidRPr="00851125">
        <w:rPr>
          <w:rFonts w:ascii="Times New Roman" w:hAnsi="Times New Roman" w:cs="Times New Roman"/>
          <w:sz w:val="24"/>
          <w:szCs w:val="24"/>
        </w:rPr>
        <w:t xml:space="preserve"> and </w:t>
      </w:r>
      <w:r w:rsidRPr="00851125">
        <w:rPr>
          <w:rFonts w:ascii="Times New Roman" w:hAnsi="Times New Roman" w:cs="Times New Roman"/>
          <w:i/>
          <w:sz w:val="24"/>
          <w:szCs w:val="24"/>
        </w:rPr>
        <w:t>Humana</w:t>
      </w:r>
      <w:r w:rsidRPr="00851125">
        <w:rPr>
          <w:rFonts w:ascii="Times New Roman" w:hAnsi="Times New Roman" w:cs="Times New Roman"/>
          <w:sz w:val="24"/>
          <w:szCs w:val="24"/>
        </w:rPr>
        <w:t xml:space="preserve">.  Similar to UPS forming OPL as </w:t>
      </w:r>
      <w:r>
        <w:rPr>
          <w:rFonts w:ascii="Times New Roman" w:hAnsi="Times New Roman" w:cs="Times New Roman"/>
          <w:sz w:val="24"/>
          <w:szCs w:val="24"/>
        </w:rPr>
        <w:t>a</w:t>
      </w:r>
      <w:r w:rsidRPr="00851125">
        <w:rPr>
          <w:rFonts w:ascii="Times New Roman" w:hAnsi="Times New Roman" w:cs="Times New Roman"/>
          <w:sz w:val="24"/>
          <w:szCs w:val="24"/>
        </w:rPr>
        <w:t xml:space="preserve"> captive</w:t>
      </w:r>
      <w:r>
        <w:rPr>
          <w:rFonts w:ascii="Times New Roman" w:hAnsi="Times New Roman" w:cs="Times New Roman"/>
          <w:sz w:val="24"/>
          <w:szCs w:val="24"/>
        </w:rPr>
        <w:t xml:space="preserve"> insurer</w:t>
      </w:r>
      <w:r w:rsidRPr="00851125">
        <w:rPr>
          <w:rFonts w:ascii="Times New Roman" w:hAnsi="Times New Roman" w:cs="Times New Roman"/>
          <w:sz w:val="24"/>
          <w:szCs w:val="24"/>
        </w:rPr>
        <w:t xml:space="preserve"> to assume risks from National Union with respect to UPS’s excess-value business, Reserve was formed to insure each of the risks that were </w:t>
      </w:r>
      <w:r>
        <w:rPr>
          <w:rFonts w:ascii="Times New Roman" w:hAnsi="Times New Roman" w:cs="Times New Roman"/>
          <w:sz w:val="24"/>
          <w:szCs w:val="24"/>
        </w:rPr>
        <w:t xml:space="preserve">specifically </w:t>
      </w:r>
      <w:r w:rsidRPr="00851125">
        <w:rPr>
          <w:rFonts w:ascii="Times New Roman" w:hAnsi="Times New Roman" w:cs="Times New Roman"/>
          <w:sz w:val="24"/>
          <w:szCs w:val="24"/>
        </w:rPr>
        <w:t>identified in Peak’s feasibility study.  Analogous to Humana</w:t>
      </w:r>
      <w:r>
        <w:rPr>
          <w:rFonts w:ascii="Times New Roman" w:hAnsi="Times New Roman" w:cs="Times New Roman"/>
          <w:sz w:val="24"/>
          <w:szCs w:val="24"/>
        </w:rPr>
        <w:t xml:space="preserve"> forming </w:t>
      </w:r>
      <w:r w:rsidRPr="002F02A2">
        <w:rPr>
          <w:rFonts w:ascii="Times New Roman" w:hAnsi="Times New Roman" w:cs="Times New Roman"/>
          <w:sz w:val="24"/>
          <w:szCs w:val="24"/>
        </w:rPr>
        <w:t xml:space="preserve">Health Care Indemnity </w:t>
      </w:r>
      <w:r>
        <w:rPr>
          <w:rFonts w:ascii="Times New Roman" w:hAnsi="Times New Roman" w:cs="Times New Roman"/>
          <w:sz w:val="24"/>
          <w:szCs w:val="24"/>
        </w:rPr>
        <w:t xml:space="preserve">to insure </w:t>
      </w:r>
      <w:r w:rsidRPr="00BE71CF">
        <w:rPr>
          <w:rFonts w:ascii="Times New Roman" w:hAnsi="Times New Roman" w:cs="Times New Roman"/>
          <w:sz w:val="24"/>
          <w:szCs w:val="24"/>
        </w:rPr>
        <w:t xml:space="preserve">coverage </w:t>
      </w:r>
      <w:r>
        <w:rPr>
          <w:rFonts w:ascii="Times New Roman" w:hAnsi="Times New Roman" w:cs="Times New Roman"/>
          <w:sz w:val="24"/>
          <w:szCs w:val="24"/>
        </w:rPr>
        <w:t>that had been</w:t>
      </w:r>
      <w:r w:rsidRPr="00BE71CF">
        <w:rPr>
          <w:rFonts w:ascii="Times New Roman" w:hAnsi="Times New Roman" w:cs="Times New Roman"/>
          <w:sz w:val="24"/>
          <w:szCs w:val="24"/>
        </w:rPr>
        <w:t xml:space="preserve"> cancelled by its commercial carrier</w:t>
      </w:r>
      <w:r>
        <w:rPr>
          <w:rFonts w:ascii="Times New Roman" w:hAnsi="Times New Roman" w:cs="Times New Roman"/>
          <w:sz w:val="24"/>
          <w:szCs w:val="24"/>
        </w:rPr>
        <w:t xml:space="preserve"> for</w:t>
      </w:r>
      <w:r w:rsidRPr="00BE71CF">
        <w:rPr>
          <w:rFonts w:ascii="Times New Roman" w:hAnsi="Times New Roman" w:cs="Times New Roman"/>
          <w:sz w:val="24"/>
          <w:szCs w:val="24"/>
        </w:rPr>
        <w:t xml:space="preserve"> general liability insurance</w:t>
      </w:r>
      <w:r>
        <w:rPr>
          <w:rFonts w:ascii="Times New Roman" w:hAnsi="Times New Roman" w:cs="Times New Roman"/>
          <w:sz w:val="24"/>
          <w:szCs w:val="24"/>
        </w:rPr>
        <w:t>, each of the risks that were underwritten by Reserve were risks for which Peak was unable to obtain</w:t>
      </w:r>
      <w:r w:rsidRPr="002272AB">
        <w:rPr>
          <w:rFonts w:ascii="Times New Roman" w:hAnsi="Times New Roman" w:cs="Times New Roman"/>
          <w:sz w:val="24"/>
          <w:szCs w:val="24"/>
        </w:rPr>
        <w:t xml:space="preserve"> </w:t>
      </w:r>
      <w:r>
        <w:rPr>
          <w:rFonts w:ascii="Times New Roman" w:hAnsi="Times New Roman" w:cs="Times New Roman"/>
          <w:sz w:val="24"/>
          <w:szCs w:val="24"/>
        </w:rPr>
        <w:t xml:space="preserve">coverage from its existing commercial insurers.  The formation of Reserve </w:t>
      </w:r>
      <w:r>
        <w:rPr>
          <w:rFonts w:ascii="Times New Roman" w:hAnsi="Times New Roman" w:cs="Times New Roman"/>
          <w:sz w:val="24"/>
          <w:szCs w:val="24"/>
        </w:rPr>
        <w:lastRenderedPageBreak/>
        <w:t xml:space="preserve">enabled Peak (and the other insureds) </w:t>
      </w:r>
      <w:r w:rsidRPr="00D0225D">
        <w:rPr>
          <w:rFonts w:ascii="Times New Roman" w:hAnsi="Times New Roman" w:cs="Times New Roman"/>
          <w:sz w:val="24"/>
          <w:szCs w:val="24"/>
        </w:rPr>
        <w:t xml:space="preserve">to insure risks that </w:t>
      </w:r>
      <w:r>
        <w:rPr>
          <w:rFonts w:ascii="Times New Roman" w:hAnsi="Times New Roman" w:cs="Times New Roman"/>
          <w:sz w:val="24"/>
          <w:szCs w:val="24"/>
        </w:rPr>
        <w:t>were</w:t>
      </w:r>
      <w:r w:rsidRPr="00D0225D">
        <w:rPr>
          <w:rFonts w:ascii="Times New Roman" w:hAnsi="Times New Roman" w:cs="Times New Roman"/>
          <w:sz w:val="24"/>
          <w:szCs w:val="24"/>
        </w:rPr>
        <w:t xml:space="preserve"> either too costly or otherwise unavailable in the commercial insurance marketplace</w:t>
      </w:r>
      <w:r>
        <w:rPr>
          <w:rFonts w:ascii="Times New Roman" w:hAnsi="Times New Roman" w:cs="Times New Roman"/>
          <w:sz w:val="24"/>
          <w:szCs w:val="24"/>
        </w:rPr>
        <w:t>.</w:t>
      </w:r>
    </w:p>
    <w:p w14:paraId="1EFACB40" w14:textId="77777777" w:rsidR="000A2139" w:rsidRDefault="000A2139" w:rsidP="00B61CA0">
      <w:pPr>
        <w:spacing w:after="0" w:line="240" w:lineRule="auto"/>
        <w:rPr>
          <w:rFonts w:ascii="Times New Roman" w:hAnsi="Times New Roman" w:cs="Times New Roman"/>
          <w:sz w:val="24"/>
          <w:szCs w:val="24"/>
        </w:rPr>
      </w:pPr>
    </w:p>
    <w:p w14:paraId="373154DB" w14:textId="08F15B2D" w:rsidR="000A2139" w:rsidRDefault="000A2139" w:rsidP="00B61CA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Another case that is instructive on how “business purpose” applies in the context of a captive insurance arrangement is </w:t>
      </w:r>
      <w:r w:rsidRPr="00FB11F5">
        <w:rPr>
          <w:rFonts w:ascii="Times New Roman" w:hAnsi="Times New Roman" w:cs="Times New Roman"/>
          <w:i/>
          <w:sz w:val="24"/>
          <w:szCs w:val="24"/>
        </w:rPr>
        <w:t>Malone &amp; Hyde, Inc. v. Commissioner</w:t>
      </w:r>
      <w:r>
        <w:rPr>
          <w:rFonts w:ascii="Times New Roman" w:hAnsi="Times New Roman" w:cs="Times New Roman"/>
          <w:sz w:val="24"/>
          <w:szCs w:val="24"/>
        </w:rPr>
        <w:t>.</w:t>
      </w:r>
      <w:r>
        <w:rPr>
          <w:rStyle w:val="EndnoteReference"/>
          <w:rFonts w:ascii="Times New Roman" w:hAnsi="Times New Roman" w:cs="Times New Roman"/>
          <w:sz w:val="24"/>
          <w:szCs w:val="24"/>
        </w:rPr>
        <w:endnoteReference w:id="13"/>
      </w:r>
      <w:r>
        <w:rPr>
          <w:rFonts w:ascii="Times New Roman" w:hAnsi="Times New Roman" w:cs="Times New Roman"/>
          <w:sz w:val="24"/>
          <w:szCs w:val="24"/>
        </w:rPr>
        <w:t xml:space="preserve">  </w:t>
      </w:r>
      <w:r w:rsidRPr="00DC6E5D">
        <w:rPr>
          <w:rFonts w:ascii="Times New Roman" w:hAnsi="Times New Roman" w:cs="Times New Roman"/>
          <w:i/>
          <w:sz w:val="24"/>
          <w:szCs w:val="24"/>
        </w:rPr>
        <w:t>Malone</w:t>
      </w:r>
      <w:r>
        <w:rPr>
          <w:rFonts w:ascii="Times New Roman" w:hAnsi="Times New Roman" w:cs="Times New Roman"/>
          <w:i/>
          <w:sz w:val="24"/>
          <w:szCs w:val="24"/>
        </w:rPr>
        <w:t xml:space="preserve"> &amp; Hyde</w:t>
      </w:r>
      <w:r>
        <w:rPr>
          <w:rFonts w:ascii="Times New Roman" w:hAnsi="Times New Roman" w:cs="Times New Roman"/>
          <w:sz w:val="24"/>
          <w:szCs w:val="24"/>
        </w:rPr>
        <w:t xml:space="preserve"> </w:t>
      </w:r>
      <w:r w:rsidRPr="002C07D5">
        <w:rPr>
          <w:rFonts w:ascii="Times New Roman" w:hAnsi="Times New Roman" w:cs="Times New Roman"/>
          <w:sz w:val="24"/>
          <w:szCs w:val="24"/>
        </w:rPr>
        <w:t xml:space="preserve">involved facts similar to those in </w:t>
      </w:r>
      <w:r w:rsidRPr="00C91EAB">
        <w:rPr>
          <w:rFonts w:ascii="Times New Roman" w:hAnsi="Times New Roman" w:cs="Times New Roman"/>
          <w:i/>
          <w:sz w:val="24"/>
          <w:szCs w:val="24"/>
        </w:rPr>
        <w:t>Humana</w:t>
      </w:r>
      <w:r w:rsidRPr="002C07D5">
        <w:rPr>
          <w:rFonts w:ascii="Times New Roman" w:hAnsi="Times New Roman" w:cs="Times New Roman"/>
          <w:sz w:val="24"/>
          <w:szCs w:val="24"/>
        </w:rPr>
        <w:t xml:space="preserve"> in that Malone &amp; Hyde created a captive subsidiary in Bermuda to provide insurance for it and its subsidiaries.  It obtained a master policy from a domestic insurance provider which then entered into a reinsurance agreement with the captive.  The Tax Court analyzed the facts in Malone &amp; Hyde using the three-prong test</w:t>
      </w:r>
      <w:r>
        <w:rPr>
          <w:rFonts w:ascii="Times New Roman" w:hAnsi="Times New Roman" w:cs="Times New Roman"/>
          <w:sz w:val="24"/>
          <w:szCs w:val="24"/>
        </w:rPr>
        <w:t xml:space="preserve"> </w:t>
      </w:r>
      <w:r w:rsidRPr="005E097C">
        <w:rPr>
          <w:rFonts w:ascii="Times New Roman" w:hAnsi="Times New Roman" w:cs="Times New Roman"/>
          <w:sz w:val="24"/>
          <w:szCs w:val="24"/>
        </w:rPr>
        <w:t xml:space="preserve">for determining whether a transaction involved </w:t>
      </w:r>
      <w:r>
        <w:rPr>
          <w:rFonts w:ascii="Times New Roman" w:hAnsi="Times New Roman" w:cs="Times New Roman"/>
          <w:sz w:val="24"/>
          <w:szCs w:val="24"/>
        </w:rPr>
        <w:t>“</w:t>
      </w:r>
      <w:r w:rsidRPr="005E097C">
        <w:rPr>
          <w:rFonts w:ascii="Times New Roman" w:hAnsi="Times New Roman" w:cs="Times New Roman"/>
          <w:sz w:val="24"/>
          <w:szCs w:val="24"/>
        </w:rPr>
        <w:t>insurance</w:t>
      </w:r>
      <w:r>
        <w:rPr>
          <w:rFonts w:ascii="Times New Roman" w:hAnsi="Times New Roman" w:cs="Times New Roman"/>
          <w:sz w:val="24"/>
          <w:szCs w:val="24"/>
        </w:rPr>
        <w:t>”</w:t>
      </w:r>
      <w:r w:rsidRPr="005E097C">
        <w:rPr>
          <w:rFonts w:ascii="Times New Roman" w:hAnsi="Times New Roman" w:cs="Times New Roman"/>
          <w:sz w:val="24"/>
          <w:szCs w:val="24"/>
        </w:rPr>
        <w:t xml:space="preserve"> for income tax purposes: (1) whether the transaction involves </w:t>
      </w:r>
      <w:r>
        <w:rPr>
          <w:rFonts w:ascii="Times New Roman" w:hAnsi="Times New Roman" w:cs="Times New Roman"/>
          <w:sz w:val="24"/>
          <w:szCs w:val="24"/>
        </w:rPr>
        <w:t>“</w:t>
      </w:r>
      <w:r w:rsidRPr="005E097C">
        <w:rPr>
          <w:rFonts w:ascii="Times New Roman" w:hAnsi="Times New Roman" w:cs="Times New Roman"/>
          <w:sz w:val="24"/>
          <w:szCs w:val="24"/>
        </w:rPr>
        <w:t>insurance risks</w:t>
      </w:r>
      <w:r>
        <w:rPr>
          <w:rFonts w:ascii="Times New Roman" w:hAnsi="Times New Roman" w:cs="Times New Roman"/>
          <w:sz w:val="24"/>
          <w:szCs w:val="24"/>
        </w:rPr>
        <w:t>”</w:t>
      </w:r>
      <w:r w:rsidRPr="005E097C">
        <w:rPr>
          <w:rFonts w:ascii="Times New Roman" w:hAnsi="Times New Roman" w:cs="Times New Roman"/>
          <w:sz w:val="24"/>
          <w:szCs w:val="24"/>
        </w:rPr>
        <w:t xml:space="preserve">; (2) whether there is risk shifting and risk distribution; and (3) whether there is </w:t>
      </w:r>
      <w:r>
        <w:rPr>
          <w:rFonts w:ascii="Times New Roman" w:hAnsi="Times New Roman" w:cs="Times New Roman"/>
          <w:sz w:val="24"/>
          <w:szCs w:val="24"/>
        </w:rPr>
        <w:t>“</w:t>
      </w:r>
      <w:r w:rsidRPr="005E097C">
        <w:rPr>
          <w:rFonts w:ascii="Times New Roman" w:hAnsi="Times New Roman" w:cs="Times New Roman"/>
          <w:sz w:val="24"/>
          <w:szCs w:val="24"/>
        </w:rPr>
        <w:t>insurance</w:t>
      </w:r>
      <w:r>
        <w:rPr>
          <w:rFonts w:ascii="Times New Roman" w:hAnsi="Times New Roman" w:cs="Times New Roman"/>
          <w:sz w:val="24"/>
          <w:szCs w:val="24"/>
        </w:rPr>
        <w:t>”</w:t>
      </w:r>
      <w:r w:rsidRPr="005E097C">
        <w:rPr>
          <w:rFonts w:ascii="Times New Roman" w:hAnsi="Times New Roman" w:cs="Times New Roman"/>
          <w:sz w:val="24"/>
          <w:szCs w:val="24"/>
        </w:rPr>
        <w:t xml:space="preserve"> in its commonly accepted usage</w:t>
      </w:r>
      <w:r>
        <w:rPr>
          <w:rFonts w:ascii="Times New Roman" w:hAnsi="Times New Roman" w:cs="Times New Roman"/>
          <w:sz w:val="24"/>
          <w:szCs w:val="24"/>
        </w:rPr>
        <w:t xml:space="preserve">.  </w:t>
      </w:r>
      <w:r w:rsidRPr="00D760F3">
        <w:rPr>
          <w:rFonts w:ascii="Times New Roman" w:hAnsi="Times New Roman" w:cs="Times New Roman"/>
          <w:sz w:val="24"/>
          <w:szCs w:val="24"/>
        </w:rPr>
        <w:t xml:space="preserve">The </w:t>
      </w:r>
      <w:r>
        <w:rPr>
          <w:rFonts w:ascii="Times New Roman" w:hAnsi="Times New Roman" w:cs="Times New Roman"/>
          <w:sz w:val="24"/>
          <w:szCs w:val="24"/>
        </w:rPr>
        <w:t>Tax C</w:t>
      </w:r>
      <w:r w:rsidRPr="00D760F3">
        <w:rPr>
          <w:rFonts w:ascii="Times New Roman" w:hAnsi="Times New Roman" w:cs="Times New Roman"/>
          <w:sz w:val="24"/>
          <w:szCs w:val="24"/>
        </w:rPr>
        <w:t xml:space="preserve">ourt applied the Humana net worth and balance sheet tests and looked at the impact that a claim of loss would have on the insured subsidiaries’ assets.  Under this criterion, the </w:t>
      </w:r>
      <w:r>
        <w:rPr>
          <w:rFonts w:ascii="Times New Roman" w:hAnsi="Times New Roman" w:cs="Times New Roman"/>
          <w:sz w:val="24"/>
          <w:szCs w:val="24"/>
        </w:rPr>
        <w:t>Tax C</w:t>
      </w:r>
      <w:r w:rsidRPr="00D760F3">
        <w:rPr>
          <w:rFonts w:ascii="Times New Roman" w:hAnsi="Times New Roman" w:cs="Times New Roman"/>
          <w:sz w:val="24"/>
          <w:szCs w:val="24"/>
        </w:rPr>
        <w:t>ourt held that the three-prong test was met and allowed the deduction.</w:t>
      </w:r>
    </w:p>
    <w:p w14:paraId="3032DDF3" w14:textId="77777777" w:rsidR="000A2139" w:rsidRDefault="000A2139" w:rsidP="00B61CA0">
      <w:pPr>
        <w:spacing w:after="0" w:line="240" w:lineRule="auto"/>
        <w:rPr>
          <w:rFonts w:ascii="Times New Roman" w:hAnsi="Times New Roman" w:cs="Times New Roman"/>
          <w:sz w:val="24"/>
          <w:szCs w:val="24"/>
        </w:rPr>
      </w:pPr>
    </w:p>
    <w:p w14:paraId="31C17BAA" w14:textId="554A1881" w:rsidR="000A2139" w:rsidRDefault="000A2139" w:rsidP="00480562">
      <w:pPr>
        <w:spacing w:after="0" w:line="240" w:lineRule="auto"/>
        <w:rPr>
          <w:rFonts w:ascii="Times New Roman" w:hAnsi="Times New Roman" w:cs="Times New Roman"/>
          <w:sz w:val="24"/>
          <w:szCs w:val="24"/>
        </w:rPr>
      </w:pPr>
      <w:r w:rsidRPr="00D760F3">
        <w:rPr>
          <w:rFonts w:ascii="Times New Roman" w:hAnsi="Times New Roman" w:cs="Times New Roman"/>
          <w:sz w:val="24"/>
          <w:szCs w:val="24"/>
        </w:rPr>
        <w:t>On appeal, th</w:t>
      </w:r>
      <w:r>
        <w:rPr>
          <w:rFonts w:ascii="Times New Roman" w:hAnsi="Times New Roman" w:cs="Times New Roman"/>
          <w:sz w:val="24"/>
          <w:szCs w:val="24"/>
        </w:rPr>
        <w:t>e</w:t>
      </w:r>
      <w:r w:rsidRPr="00D760F3">
        <w:rPr>
          <w:rFonts w:ascii="Times New Roman" w:hAnsi="Times New Roman" w:cs="Times New Roman"/>
          <w:sz w:val="24"/>
          <w:szCs w:val="24"/>
        </w:rPr>
        <w:t xml:space="preserve"> Sixth Circuit </w:t>
      </w:r>
      <w:r>
        <w:rPr>
          <w:rFonts w:ascii="Times New Roman" w:hAnsi="Times New Roman" w:cs="Times New Roman"/>
          <w:sz w:val="24"/>
          <w:szCs w:val="24"/>
        </w:rPr>
        <w:t xml:space="preserve">in </w:t>
      </w:r>
      <w:r w:rsidRPr="00EF1134">
        <w:rPr>
          <w:rFonts w:ascii="Times New Roman" w:hAnsi="Times New Roman" w:cs="Times New Roman"/>
          <w:i/>
          <w:sz w:val="24"/>
          <w:szCs w:val="24"/>
        </w:rPr>
        <w:t>Malone &amp; Hyde</w:t>
      </w:r>
      <w:r>
        <w:rPr>
          <w:rFonts w:ascii="Times New Roman" w:hAnsi="Times New Roman" w:cs="Times New Roman"/>
          <w:sz w:val="24"/>
          <w:szCs w:val="24"/>
        </w:rPr>
        <w:t xml:space="preserve"> </w:t>
      </w:r>
      <w:r w:rsidRPr="00D760F3">
        <w:rPr>
          <w:rFonts w:ascii="Times New Roman" w:hAnsi="Times New Roman" w:cs="Times New Roman"/>
          <w:sz w:val="24"/>
          <w:szCs w:val="24"/>
        </w:rPr>
        <w:t xml:space="preserve">reversed, stating that the Tax Court put the cart before the horse in that it should have first determined whether the captive was a sham </w:t>
      </w:r>
      <w:r w:rsidRPr="00E6628F">
        <w:rPr>
          <w:rFonts w:ascii="Times New Roman" w:hAnsi="Times New Roman" w:cs="Times New Roman"/>
          <w:b/>
          <w:i/>
          <w:sz w:val="24"/>
          <w:szCs w:val="24"/>
          <w:u w:val="single"/>
        </w:rPr>
        <w:t>before</w:t>
      </w:r>
      <w:r w:rsidRPr="00D760F3">
        <w:rPr>
          <w:rFonts w:ascii="Times New Roman" w:hAnsi="Times New Roman" w:cs="Times New Roman"/>
          <w:sz w:val="24"/>
          <w:szCs w:val="24"/>
        </w:rPr>
        <w:t xml:space="preserve"> it applied the three-prong test.</w:t>
      </w:r>
      <w:r>
        <w:rPr>
          <w:rFonts w:ascii="Times New Roman" w:hAnsi="Times New Roman" w:cs="Times New Roman"/>
          <w:sz w:val="24"/>
          <w:szCs w:val="24"/>
        </w:rPr>
        <w:t xml:space="preserve">  </w:t>
      </w:r>
      <w:r w:rsidRPr="009718F3">
        <w:rPr>
          <w:rFonts w:ascii="Times New Roman" w:hAnsi="Times New Roman" w:cs="Times New Roman"/>
          <w:sz w:val="24"/>
          <w:szCs w:val="24"/>
        </w:rPr>
        <w:t xml:space="preserve">The Sixth Circuit held that the insurance agreement in </w:t>
      </w:r>
      <w:r w:rsidRPr="00561EA5">
        <w:rPr>
          <w:rFonts w:ascii="Times New Roman" w:hAnsi="Times New Roman" w:cs="Times New Roman"/>
          <w:i/>
          <w:sz w:val="24"/>
          <w:szCs w:val="24"/>
        </w:rPr>
        <w:t>Malone &amp; Hyde</w:t>
      </w:r>
      <w:r w:rsidRPr="009718F3">
        <w:rPr>
          <w:rFonts w:ascii="Times New Roman" w:hAnsi="Times New Roman" w:cs="Times New Roman"/>
          <w:sz w:val="24"/>
          <w:szCs w:val="24"/>
        </w:rPr>
        <w:t xml:space="preserve"> was a sham and distinguished </w:t>
      </w:r>
      <w:r>
        <w:rPr>
          <w:rFonts w:ascii="Times New Roman" w:hAnsi="Times New Roman" w:cs="Times New Roman"/>
          <w:sz w:val="24"/>
          <w:szCs w:val="24"/>
        </w:rPr>
        <w:t>it</w:t>
      </w:r>
      <w:r w:rsidRPr="009718F3">
        <w:rPr>
          <w:rFonts w:ascii="Times New Roman" w:hAnsi="Times New Roman" w:cs="Times New Roman"/>
          <w:sz w:val="24"/>
          <w:szCs w:val="24"/>
        </w:rPr>
        <w:t xml:space="preserve"> from </w:t>
      </w:r>
      <w:r w:rsidRPr="003F1AF2">
        <w:rPr>
          <w:rFonts w:ascii="Times New Roman" w:hAnsi="Times New Roman" w:cs="Times New Roman"/>
          <w:i/>
          <w:sz w:val="24"/>
          <w:szCs w:val="24"/>
        </w:rPr>
        <w:t>Humana</w:t>
      </w:r>
      <w:r w:rsidRPr="009718F3">
        <w:rPr>
          <w:rFonts w:ascii="Times New Roman" w:hAnsi="Times New Roman" w:cs="Times New Roman"/>
          <w:sz w:val="24"/>
          <w:szCs w:val="24"/>
        </w:rPr>
        <w:t xml:space="preserve"> in that, unlike Humana, (1) Malone &amp; Hyde had no problem obtaining insurance; (2) the captive in Malone &amp; Hyde was undercapitalized; and (3) because of the undercapitalization, the reinsurance company required Malone &amp; Hyde to sign a hold harmless agreement.  By stating that a court should first determine if an insurance transaction is bona fide before it applies mechanical tests (i.e., the net worth or balance sheet tests) to determine whether risk shifting and risk distribution exist, the Sixth Circuit’s decision in </w:t>
      </w:r>
      <w:r w:rsidRPr="00B25F8C">
        <w:rPr>
          <w:rFonts w:ascii="Times New Roman" w:hAnsi="Times New Roman" w:cs="Times New Roman"/>
          <w:i/>
          <w:sz w:val="24"/>
          <w:szCs w:val="24"/>
        </w:rPr>
        <w:t>Malone &amp; Hyde</w:t>
      </w:r>
      <w:r w:rsidRPr="009718F3">
        <w:rPr>
          <w:rFonts w:ascii="Times New Roman" w:hAnsi="Times New Roman" w:cs="Times New Roman"/>
          <w:sz w:val="24"/>
          <w:szCs w:val="24"/>
        </w:rPr>
        <w:t xml:space="preserve"> clarifies the </w:t>
      </w:r>
      <w:r w:rsidRPr="00DF657E">
        <w:rPr>
          <w:rFonts w:ascii="Times New Roman" w:hAnsi="Times New Roman" w:cs="Times New Roman"/>
          <w:i/>
          <w:sz w:val="24"/>
          <w:szCs w:val="24"/>
        </w:rPr>
        <w:t>Humana</w:t>
      </w:r>
      <w:r w:rsidRPr="009718F3">
        <w:rPr>
          <w:rFonts w:ascii="Times New Roman" w:hAnsi="Times New Roman" w:cs="Times New Roman"/>
          <w:sz w:val="24"/>
          <w:szCs w:val="24"/>
        </w:rPr>
        <w:t xml:space="preserve"> decision.</w:t>
      </w:r>
    </w:p>
    <w:p w14:paraId="36E57DA8" w14:textId="1D1254C0" w:rsidR="000A2139" w:rsidRDefault="000A2139" w:rsidP="00B61CA0">
      <w:pPr>
        <w:spacing w:after="0" w:line="240" w:lineRule="auto"/>
        <w:rPr>
          <w:rFonts w:ascii="Times New Roman" w:hAnsi="Times New Roman" w:cs="Times New Roman"/>
          <w:sz w:val="24"/>
          <w:szCs w:val="24"/>
        </w:rPr>
      </w:pPr>
    </w:p>
    <w:p w14:paraId="0C4900A3" w14:textId="372852E4" w:rsidR="000A2139" w:rsidRDefault="000A2139" w:rsidP="00B61CA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w:t>
      </w:r>
      <w:r w:rsidRPr="005B7DD6">
        <w:rPr>
          <w:rFonts w:ascii="Times New Roman" w:hAnsi="Times New Roman" w:cs="Times New Roman"/>
          <w:i/>
          <w:sz w:val="24"/>
          <w:szCs w:val="24"/>
        </w:rPr>
        <w:t>Reserve</w:t>
      </w:r>
      <w:r>
        <w:rPr>
          <w:rFonts w:ascii="Times New Roman" w:hAnsi="Times New Roman" w:cs="Times New Roman"/>
          <w:sz w:val="24"/>
          <w:szCs w:val="24"/>
        </w:rPr>
        <w:t xml:space="preserve">, the Court confused the analysis and </w:t>
      </w:r>
      <w:r w:rsidRPr="00531404">
        <w:rPr>
          <w:rFonts w:ascii="Times New Roman" w:hAnsi="Times New Roman" w:cs="Times New Roman"/>
          <w:sz w:val="24"/>
          <w:szCs w:val="24"/>
        </w:rPr>
        <w:t xml:space="preserve">erred in failing to address the correct legal question </w:t>
      </w:r>
      <w:r>
        <w:rPr>
          <w:rFonts w:ascii="Times New Roman" w:hAnsi="Times New Roman" w:cs="Times New Roman"/>
          <w:sz w:val="24"/>
          <w:szCs w:val="24"/>
        </w:rPr>
        <w:t xml:space="preserve">as </w:t>
      </w:r>
      <w:r w:rsidRPr="00531404">
        <w:rPr>
          <w:rFonts w:ascii="Times New Roman" w:hAnsi="Times New Roman" w:cs="Times New Roman"/>
          <w:sz w:val="24"/>
          <w:szCs w:val="24"/>
        </w:rPr>
        <w:t>established by prior case law.</w:t>
      </w:r>
      <w:r>
        <w:rPr>
          <w:rFonts w:ascii="Times New Roman" w:hAnsi="Times New Roman" w:cs="Times New Roman"/>
          <w:sz w:val="24"/>
          <w:szCs w:val="24"/>
        </w:rPr>
        <w:t xml:space="preserve">  Judge Kerrigan ignored the legal precedent that was established by the Sixth Circuit in </w:t>
      </w:r>
      <w:r w:rsidRPr="009219BB">
        <w:rPr>
          <w:rFonts w:ascii="Times New Roman" w:hAnsi="Times New Roman" w:cs="Times New Roman"/>
          <w:i/>
          <w:sz w:val="24"/>
          <w:szCs w:val="24"/>
        </w:rPr>
        <w:t>Malone &amp; Hyde</w:t>
      </w:r>
      <w:r>
        <w:rPr>
          <w:rFonts w:ascii="Times New Roman" w:hAnsi="Times New Roman" w:cs="Times New Roman"/>
          <w:sz w:val="24"/>
          <w:szCs w:val="24"/>
        </w:rPr>
        <w:t>.</w:t>
      </w:r>
      <w:bookmarkEnd w:id="5"/>
      <w:r>
        <w:rPr>
          <w:rFonts w:ascii="Times New Roman" w:hAnsi="Times New Roman" w:cs="Times New Roman"/>
          <w:sz w:val="24"/>
          <w:szCs w:val="24"/>
        </w:rPr>
        <w:t xml:space="preserve">  In doing so, the Court first purported to apply the “risk distribution” test to Reserve’s insurance arrangement (by applying the “bona fide insurance company” test first introduced in </w:t>
      </w:r>
      <w:r w:rsidRPr="00530918">
        <w:rPr>
          <w:rFonts w:ascii="Times New Roman" w:hAnsi="Times New Roman" w:cs="Times New Roman"/>
          <w:i/>
          <w:sz w:val="24"/>
          <w:szCs w:val="24"/>
        </w:rPr>
        <w:t>Avrahami</w:t>
      </w:r>
      <w:r>
        <w:rPr>
          <w:rFonts w:ascii="Times New Roman" w:hAnsi="Times New Roman" w:cs="Times New Roman"/>
          <w:sz w:val="24"/>
          <w:szCs w:val="24"/>
        </w:rPr>
        <w:t xml:space="preserve"> to PoolRe’s pooling arrangement).  The Court then followed the template that had been laid out by the Tax Court in </w:t>
      </w:r>
      <w:r w:rsidRPr="001A33AE">
        <w:rPr>
          <w:rFonts w:ascii="Times New Roman" w:hAnsi="Times New Roman" w:cs="Times New Roman"/>
          <w:i/>
          <w:sz w:val="24"/>
          <w:szCs w:val="24"/>
        </w:rPr>
        <w:t>Avrahami</w:t>
      </w:r>
      <w:r>
        <w:rPr>
          <w:rFonts w:ascii="Times New Roman" w:hAnsi="Times New Roman" w:cs="Times New Roman"/>
          <w:sz w:val="24"/>
          <w:szCs w:val="24"/>
        </w:rPr>
        <w:t xml:space="preserve"> by purporting to apply the “insurance in the commonly accepted sense” test to Reserve’s transactions.  The Court only discussed Reserve’s “business purpose” in the context of its attempt to apply the various factors for each of these two tests to Reserve’s insurance arrangement.  Thus, the Court conflated the business purpose issue with the separate issues of risk distribution and common notions of insurance.  The Court did not follow the precedent set in </w:t>
      </w:r>
      <w:r w:rsidRPr="00EE2EAB">
        <w:rPr>
          <w:rFonts w:ascii="Times New Roman" w:hAnsi="Times New Roman" w:cs="Times New Roman"/>
          <w:i/>
          <w:sz w:val="24"/>
          <w:szCs w:val="24"/>
        </w:rPr>
        <w:t>Malone &amp; Hyde</w:t>
      </w:r>
      <w:r>
        <w:rPr>
          <w:rFonts w:ascii="Times New Roman" w:hAnsi="Times New Roman" w:cs="Times New Roman"/>
          <w:sz w:val="24"/>
          <w:szCs w:val="24"/>
        </w:rPr>
        <w:t xml:space="preserve"> by first </w:t>
      </w:r>
      <w:r w:rsidRPr="00D760F3">
        <w:rPr>
          <w:rFonts w:ascii="Times New Roman" w:hAnsi="Times New Roman" w:cs="Times New Roman"/>
          <w:sz w:val="24"/>
          <w:szCs w:val="24"/>
        </w:rPr>
        <w:t>determin</w:t>
      </w:r>
      <w:r>
        <w:rPr>
          <w:rFonts w:ascii="Times New Roman" w:hAnsi="Times New Roman" w:cs="Times New Roman"/>
          <w:sz w:val="24"/>
          <w:szCs w:val="24"/>
        </w:rPr>
        <w:t>ing</w:t>
      </w:r>
      <w:r w:rsidRPr="00D760F3">
        <w:rPr>
          <w:rFonts w:ascii="Times New Roman" w:hAnsi="Times New Roman" w:cs="Times New Roman"/>
          <w:sz w:val="24"/>
          <w:szCs w:val="24"/>
        </w:rPr>
        <w:t xml:space="preserve"> whether the captive was a sham</w:t>
      </w:r>
      <w:r>
        <w:rPr>
          <w:rFonts w:ascii="Times New Roman" w:hAnsi="Times New Roman" w:cs="Times New Roman"/>
          <w:sz w:val="24"/>
          <w:szCs w:val="24"/>
        </w:rPr>
        <w:t xml:space="preserve"> or whether it served a legitimate business purpose</w:t>
      </w:r>
      <w:r w:rsidRPr="00D760F3">
        <w:rPr>
          <w:rFonts w:ascii="Times New Roman" w:hAnsi="Times New Roman" w:cs="Times New Roman"/>
          <w:sz w:val="24"/>
          <w:szCs w:val="24"/>
        </w:rPr>
        <w:t xml:space="preserve"> </w:t>
      </w:r>
      <w:r w:rsidRPr="00A40293">
        <w:rPr>
          <w:rFonts w:ascii="Times New Roman" w:hAnsi="Times New Roman" w:cs="Times New Roman"/>
          <w:b/>
          <w:i/>
          <w:sz w:val="24"/>
          <w:szCs w:val="24"/>
          <w:u w:val="single"/>
        </w:rPr>
        <w:t>before</w:t>
      </w:r>
      <w:r w:rsidRPr="00D760F3">
        <w:rPr>
          <w:rFonts w:ascii="Times New Roman" w:hAnsi="Times New Roman" w:cs="Times New Roman"/>
          <w:sz w:val="24"/>
          <w:szCs w:val="24"/>
        </w:rPr>
        <w:t xml:space="preserve"> it </w:t>
      </w:r>
      <w:r>
        <w:rPr>
          <w:rFonts w:ascii="Times New Roman" w:hAnsi="Times New Roman" w:cs="Times New Roman"/>
          <w:sz w:val="24"/>
          <w:szCs w:val="24"/>
        </w:rPr>
        <w:t xml:space="preserve">purported to </w:t>
      </w:r>
      <w:r w:rsidRPr="00D760F3">
        <w:rPr>
          <w:rFonts w:ascii="Times New Roman" w:hAnsi="Times New Roman" w:cs="Times New Roman"/>
          <w:sz w:val="24"/>
          <w:szCs w:val="24"/>
        </w:rPr>
        <w:t>appl</w:t>
      </w:r>
      <w:r>
        <w:rPr>
          <w:rFonts w:ascii="Times New Roman" w:hAnsi="Times New Roman" w:cs="Times New Roman"/>
          <w:sz w:val="24"/>
          <w:szCs w:val="24"/>
        </w:rPr>
        <w:t>y</w:t>
      </w:r>
      <w:r w:rsidRPr="00D760F3">
        <w:rPr>
          <w:rFonts w:ascii="Times New Roman" w:hAnsi="Times New Roman" w:cs="Times New Roman"/>
          <w:sz w:val="24"/>
          <w:szCs w:val="24"/>
        </w:rPr>
        <w:t xml:space="preserve"> the </w:t>
      </w:r>
      <w:r>
        <w:rPr>
          <w:rFonts w:ascii="Times New Roman" w:hAnsi="Times New Roman" w:cs="Times New Roman"/>
          <w:sz w:val="24"/>
          <w:szCs w:val="24"/>
        </w:rPr>
        <w:t>“risk distribution” and “insurance in the commonly accepted sense” tests to Reserve’s transactions</w:t>
      </w:r>
      <w:r w:rsidRPr="00D760F3">
        <w:rPr>
          <w:rFonts w:ascii="Times New Roman" w:hAnsi="Times New Roman" w:cs="Times New Roman"/>
          <w:sz w:val="24"/>
          <w:szCs w:val="24"/>
        </w:rPr>
        <w:t>.</w:t>
      </w:r>
      <w:r>
        <w:rPr>
          <w:rFonts w:ascii="Times New Roman" w:hAnsi="Times New Roman" w:cs="Times New Roman"/>
          <w:sz w:val="24"/>
          <w:szCs w:val="24"/>
        </w:rPr>
        <w:t xml:space="preserve">  As previously discussed, the Court simply assumed</w:t>
      </w:r>
      <w:r w:rsidRPr="00282F7A">
        <w:rPr>
          <w:rFonts w:ascii="Times New Roman" w:hAnsi="Times New Roman" w:cs="Times New Roman"/>
          <w:sz w:val="24"/>
          <w:szCs w:val="24"/>
        </w:rPr>
        <w:t>, without any supporting evidence, that there was not a legitimate business purpose for Reserve’s captive insurance arrangement</w:t>
      </w:r>
      <w:r>
        <w:rPr>
          <w:rFonts w:ascii="Times New Roman" w:hAnsi="Times New Roman" w:cs="Times New Roman"/>
          <w:sz w:val="24"/>
          <w:szCs w:val="24"/>
        </w:rPr>
        <w:t>.</w:t>
      </w:r>
    </w:p>
    <w:p w14:paraId="0B395BE2" w14:textId="3286A00E" w:rsidR="000A2139" w:rsidRDefault="000A2139" w:rsidP="00B61CA0">
      <w:pPr>
        <w:spacing w:after="0" w:line="240" w:lineRule="auto"/>
        <w:rPr>
          <w:rFonts w:ascii="Times New Roman" w:hAnsi="Times New Roman" w:cs="Times New Roman"/>
          <w:sz w:val="24"/>
          <w:szCs w:val="24"/>
        </w:rPr>
      </w:pPr>
    </w:p>
    <w:p w14:paraId="71B70057" w14:textId="1C6BE2BF" w:rsidR="000A2139" w:rsidRDefault="000A2139" w:rsidP="00B61CA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As discussed later in this </w:t>
      </w:r>
      <w:r w:rsidRPr="003664E0">
        <w:rPr>
          <w:rFonts w:ascii="Times New Roman" w:hAnsi="Times New Roman" w:cs="Times New Roman"/>
          <w:sz w:val="24"/>
          <w:szCs w:val="24"/>
        </w:rPr>
        <w:t>commentary at Section V, the evidence at trial</w:t>
      </w:r>
      <w:r>
        <w:rPr>
          <w:rFonts w:ascii="Times New Roman" w:hAnsi="Times New Roman" w:cs="Times New Roman"/>
          <w:sz w:val="24"/>
          <w:szCs w:val="24"/>
        </w:rPr>
        <w:t xml:space="preserve"> established that both of the tests enunciated by Judge Kerrigan in </w:t>
      </w:r>
      <w:r w:rsidRPr="00A27808">
        <w:rPr>
          <w:rFonts w:ascii="Times New Roman" w:hAnsi="Times New Roman" w:cs="Times New Roman"/>
          <w:i/>
          <w:sz w:val="24"/>
          <w:szCs w:val="24"/>
        </w:rPr>
        <w:t>Reserve</w:t>
      </w:r>
      <w:r>
        <w:rPr>
          <w:rFonts w:ascii="Times New Roman" w:hAnsi="Times New Roman" w:cs="Times New Roman"/>
          <w:sz w:val="24"/>
          <w:szCs w:val="24"/>
        </w:rPr>
        <w:t xml:space="preserve"> were satisfied.  E</w:t>
      </w:r>
      <w:r w:rsidRPr="00144CB2">
        <w:rPr>
          <w:rFonts w:ascii="Times New Roman" w:hAnsi="Times New Roman" w:cs="Times New Roman"/>
          <w:sz w:val="24"/>
          <w:szCs w:val="24"/>
        </w:rPr>
        <w:t>ven though the</w:t>
      </w:r>
      <w:r>
        <w:rPr>
          <w:rFonts w:ascii="Times New Roman" w:hAnsi="Times New Roman" w:cs="Times New Roman"/>
          <w:sz w:val="24"/>
          <w:szCs w:val="24"/>
        </w:rPr>
        <w:t>se tests</w:t>
      </w:r>
      <w:r w:rsidRPr="00144CB2">
        <w:rPr>
          <w:rFonts w:ascii="Times New Roman" w:hAnsi="Times New Roman" w:cs="Times New Roman"/>
          <w:sz w:val="24"/>
          <w:szCs w:val="24"/>
        </w:rPr>
        <w:t xml:space="preserve"> went well beyond what </w:t>
      </w:r>
      <w:r>
        <w:rPr>
          <w:rFonts w:ascii="Times New Roman" w:hAnsi="Times New Roman" w:cs="Times New Roman"/>
          <w:sz w:val="24"/>
          <w:szCs w:val="24"/>
        </w:rPr>
        <w:t>was</w:t>
      </w:r>
      <w:r w:rsidRPr="00144CB2">
        <w:rPr>
          <w:rFonts w:ascii="Times New Roman" w:hAnsi="Times New Roman" w:cs="Times New Roman"/>
          <w:sz w:val="24"/>
          <w:szCs w:val="24"/>
        </w:rPr>
        <w:t xml:space="preserve"> </w:t>
      </w:r>
      <w:r>
        <w:rPr>
          <w:rFonts w:ascii="Times New Roman" w:hAnsi="Times New Roman" w:cs="Times New Roman"/>
          <w:sz w:val="24"/>
          <w:szCs w:val="24"/>
        </w:rPr>
        <w:t>required</w:t>
      </w:r>
      <w:r w:rsidRPr="00144CB2">
        <w:rPr>
          <w:rFonts w:ascii="Times New Roman" w:hAnsi="Times New Roman" w:cs="Times New Roman"/>
          <w:sz w:val="24"/>
          <w:szCs w:val="24"/>
        </w:rPr>
        <w:t xml:space="preserve"> under established </w:t>
      </w:r>
      <w:r>
        <w:rPr>
          <w:rFonts w:ascii="Times New Roman" w:hAnsi="Times New Roman" w:cs="Times New Roman"/>
          <w:sz w:val="24"/>
          <w:szCs w:val="24"/>
        </w:rPr>
        <w:t>legal p</w:t>
      </w:r>
      <w:r w:rsidRPr="00144CB2">
        <w:rPr>
          <w:rFonts w:ascii="Times New Roman" w:hAnsi="Times New Roman" w:cs="Times New Roman"/>
          <w:sz w:val="24"/>
          <w:szCs w:val="24"/>
        </w:rPr>
        <w:t>recedent</w:t>
      </w:r>
      <w:r>
        <w:rPr>
          <w:rFonts w:ascii="Times New Roman" w:hAnsi="Times New Roman" w:cs="Times New Roman"/>
          <w:sz w:val="24"/>
          <w:szCs w:val="24"/>
        </w:rPr>
        <w:t>,</w:t>
      </w:r>
      <w:r w:rsidRPr="00144CB2">
        <w:rPr>
          <w:rFonts w:ascii="Times New Roman" w:hAnsi="Times New Roman" w:cs="Times New Roman"/>
          <w:sz w:val="24"/>
          <w:szCs w:val="24"/>
        </w:rPr>
        <w:t xml:space="preserve"> </w:t>
      </w:r>
      <w:r>
        <w:rPr>
          <w:rFonts w:ascii="Times New Roman" w:hAnsi="Times New Roman" w:cs="Times New Roman"/>
          <w:sz w:val="24"/>
          <w:szCs w:val="24"/>
        </w:rPr>
        <w:t xml:space="preserve">Reserve met its burden in establishing that: a) </w:t>
      </w:r>
      <w:r w:rsidRPr="00F86A6C">
        <w:rPr>
          <w:rFonts w:ascii="Times New Roman" w:hAnsi="Times New Roman" w:cs="Times New Roman"/>
          <w:sz w:val="24"/>
          <w:szCs w:val="24"/>
        </w:rPr>
        <w:t>Reserve</w:t>
      </w:r>
      <w:r>
        <w:rPr>
          <w:rFonts w:ascii="Times New Roman" w:hAnsi="Times New Roman" w:cs="Times New Roman"/>
          <w:sz w:val="24"/>
          <w:szCs w:val="24"/>
        </w:rPr>
        <w:t>’s participation in PoolRe satisfied the “bona fide insurance company” test and b) Reserve’s transactions were “insurance in the commonly accepted sense.”</w:t>
      </w:r>
    </w:p>
    <w:p w14:paraId="7E82F835" w14:textId="739A6B91" w:rsidR="006915EA" w:rsidRDefault="006915EA" w:rsidP="00B61CA0">
      <w:pPr>
        <w:spacing w:after="0" w:line="240" w:lineRule="auto"/>
        <w:rPr>
          <w:rFonts w:ascii="Times New Roman" w:hAnsi="Times New Roman" w:cs="Times New Roman"/>
          <w:sz w:val="24"/>
          <w:szCs w:val="24"/>
        </w:rPr>
      </w:pPr>
    </w:p>
    <w:p w14:paraId="197066CD" w14:textId="46A92A87" w:rsidR="000A2139" w:rsidRPr="00D06467" w:rsidRDefault="000A2139" w:rsidP="00D06467">
      <w:pPr>
        <w:pStyle w:val="Heading1"/>
        <w:spacing w:before="0"/>
        <w:rPr>
          <w:rFonts w:ascii="Times New Roman" w:hAnsi="Times New Roman" w:cs="Times New Roman"/>
          <w:b/>
          <w:color w:val="auto"/>
          <w:sz w:val="24"/>
          <w:szCs w:val="24"/>
        </w:rPr>
      </w:pPr>
      <w:bookmarkStart w:id="6" w:name="_Toc534366164"/>
      <w:r w:rsidRPr="00D06467">
        <w:rPr>
          <w:rFonts w:ascii="Times New Roman" w:hAnsi="Times New Roman" w:cs="Times New Roman"/>
          <w:b/>
          <w:color w:val="auto"/>
          <w:sz w:val="24"/>
          <w:szCs w:val="24"/>
        </w:rPr>
        <w:t>II.</w:t>
      </w:r>
      <w:r w:rsidRPr="00D06467">
        <w:rPr>
          <w:rFonts w:ascii="Times New Roman" w:hAnsi="Times New Roman" w:cs="Times New Roman"/>
          <w:b/>
          <w:i/>
          <w:color w:val="auto"/>
          <w:sz w:val="24"/>
          <w:szCs w:val="24"/>
        </w:rPr>
        <w:t xml:space="preserve">  </w:t>
      </w:r>
      <w:r w:rsidRPr="00D06467">
        <w:rPr>
          <w:rFonts w:ascii="Times New Roman" w:hAnsi="Times New Roman" w:cs="Times New Roman"/>
          <w:b/>
          <w:color w:val="auto"/>
          <w:sz w:val="24"/>
          <w:szCs w:val="24"/>
        </w:rPr>
        <w:t xml:space="preserve">The Court Erred in Using </w:t>
      </w:r>
      <w:r w:rsidRPr="00D06467">
        <w:rPr>
          <w:rFonts w:ascii="Times New Roman" w:hAnsi="Times New Roman" w:cs="Times New Roman"/>
          <w:b/>
          <w:i/>
          <w:color w:val="auto"/>
          <w:sz w:val="24"/>
          <w:szCs w:val="24"/>
        </w:rPr>
        <w:t>Avrahami</w:t>
      </w:r>
      <w:r w:rsidRPr="00D06467">
        <w:rPr>
          <w:rFonts w:ascii="Times New Roman" w:hAnsi="Times New Roman" w:cs="Times New Roman"/>
          <w:b/>
          <w:color w:val="auto"/>
          <w:sz w:val="24"/>
          <w:szCs w:val="24"/>
        </w:rPr>
        <w:t xml:space="preserve"> as the Template for </w:t>
      </w:r>
      <w:r w:rsidRPr="00D06467">
        <w:rPr>
          <w:rFonts w:ascii="Times New Roman" w:hAnsi="Times New Roman" w:cs="Times New Roman"/>
          <w:b/>
          <w:i/>
          <w:color w:val="auto"/>
          <w:sz w:val="24"/>
          <w:szCs w:val="24"/>
        </w:rPr>
        <w:t>Reserve</w:t>
      </w:r>
      <w:bookmarkEnd w:id="6"/>
      <w:r w:rsidRPr="00D06467">
        <w:rPr>
          <w:rFonts w:ascii="Times New Roman" w:hAnsi="Times New Roman" w:cs="Times New Roman"/>
          <w:b/>
          <w:color w:val="auto"/>
          <w:sz w:val="24"/>
          <w:szCs w:val="24"/>
        </w:rPr>
        <w:t xml:space="preserve"> </w:t>
      </w:r>
    </w:p>
    <w:p w14:paraId="08248052" w14:textId="77777777" w:rsidR="000A2139" w:rsidRDefault="000A2139" w:rsidP="00B61CA0">
      <w:pPr>
        <w:spacing w:after="0" w:line="240" w:lineRule="auto"/>
        <w:rPr>
          <w:rFonts w:ascii="Times New Roman" w:hAnsi="Times New Roman" w:cs="Times New Roman"/>
          <w:sz w:val="24"/>
          <w:szCs w:val="24"/>
        </w:rPr>
      </w:pPr>
    </w:p>
    <w:p w14:paraId="7B5B85F4" w14:textId="77777777" w:rsidR="000A2139" w:rsidRDefault="000A2139" w:rsidP="00B61CA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Court in </w:t>
      </w:r>
      <w:r w:rsidRPr="008F5949">
        <w:rPr>
          <w:rFonts w:ascii="Times New Roman" w:hAnsi="Times New Roman" w:cs="Times New Roman"/>
          <w:i/>
          <w:sz w:val="24"/>
          <w:szCs w:val="24"/>
        </w:rPr>
        <w:t>Reserve</w:t>
      </w:r>
      <w:r>
        <w:rPr>
          <w:rFonts w:ascii="Times New Roman" w:hAnsi="Times New Roman" w:cs="Times New Roman"/>
          <w:sz w:val="24"/>
          <w:szCs w:val="24"/>
        </w:rPr>
        <w:t xml:space="preserve"> noticeably used </w:t>
      </w:r>
      <w:r w:rsidRPr="008D608A">
        <w:rPr>
          <w:rFonts w:ascii="Times New Roman" w:hAnsi="Times New Roman" w:cs="Times New Roman"/>
          <w:i/>
          <w:sz w:val="24"/>
          <w:szCs w:val="24"/>
        </w:rPr>
        <w:t>Avrahami</w:t>
      </w:r>
      <w:r>
        <w:rPr>
          <w:rStyle w:val="EndnoteReference"/>
          <w:rFonts w:ascii="Times New Roman" w:hAnsi="Times New Roman" w:cs="Times New Roman"/>
          <w:sz w:val="24"/>
          <w:szCs w:val="24"/>
        </w:rPr>
        <w:endnoteReference w:id="14"/>
      </w:r>
      <w:r>
        <w:rPr>
          <w:rFonts w:ascii="Times New Roman" w:hAnsi="Times New Roman" w:cs="Times New Roman"/>
          <w:sz w:val="24"/>
          <w:szCs w:val="24"/>
        </w:rPr>
        <w:t xml:space="preserve"> as the “template” for its Opinion despite the absence of factual similarities and </w:t>
      </w:r>
      <w:r w:rsidRPr="00841630">
        <w:rPr>
          <w:rFonts w:ascii="Times New Roman" w:hAnsi="Times New Roman" w:cs="Times New Roman"/>
          <w:i/>
          <w:sz w:val="24"/>
          <w:szCs w:val="24"/>
        </w:rPr>
        <w:t>Avrahami</w:t>
      </w:r>
      <w:r>
        <w:rPr>
          <w:rFonts w:ascii="Times New Roman" w:hAnsi="Times New Roman" w:cs="Times New Roman"/>
          <w:sz w:val="24"/>
          <w:szCs w:val="24"/>
        </w:rPr>
        <w:t>’s erroneous legal precedent.</w:t>
      </w:r>
    </w:p>
    <w:p w14:paraId="012EDC61" w14:textId="77777777" w:rsidR="000A2139" w:rsidRDefault="000A2139" w:rsidP="00B61CA0">
      <w:pPr>
        <w:spacing w:after="0" w:line="240" w:lineRule="auto"/>
        <w:rPr>
          <w:rFonts w:ascii="Times New Roman" w:hAnsi="Times New Roman" w:cs="Times New Roman"/>
          <w:sz w:val="24"/>
          <w:szCs w:val="24"/>
        </w:rPr>
      </w:pPr>
    </w:p>
    <w:p w14:paraId="7DC916BA" w14:textId="46512028" w:rsidR="000A2139" w:rsidRDefault="000A2139" w:rsidP="00B61CA0">
      <w:pPr>
        <w:spacing w:after="0" w:line="240" w:lineRule="auto"/>
        <w:rPr>
          <w:rFonts w:ascii="Times New Roman" w:hAnsi="Times New Roman" w:cs="Times New Roman"/>
          <w:sz w:val="24"/>
          <w:szCs w:val="24"/>
        </w:rPr>
      </w:pPr>
      <w:r w:rsidRPr="00096D8F">
        <w:rPr>
          <w:rFonts w:ascii="Times New Roman" w:hAnsi="Times New Roman" w:cs="Times New Roman"/>
          <w:sz w:val="24"/>
          <w:szCs w:val="24"/>
        </w:rPr>
        <w:t xml:space="preserve">The Court also ignored widespread insurance practices by imposing new and unsupportable requirements on the insurance industry, requiring that a pooling be done by an insurance company.  In so doing, the Court relied on the </w:t>
      </w:r>
      <w:r w:rsidRPr="00096D8F">
        <w:rPr>
          <w:rFonts w:ascii="Times New Roman" w:hAnsi="Times New Roman" w:cs="Times New Roman"/>
          <w:i/>
          <w:sz w:val="24"/>
          <w:szCs w:val="24"/>
        </w:rPr>
        <w:t>Avrahami</w:t>
      </w:r>
      <w:r w:rsidRPr="00096D8F">
        <w:rPr>
          <w:rFonts w:ascii="Times New Roman" w:hAnsi="Times New Roman" w:cs="Times New Roman"/>
          <w:sz w:val="24"/>
          <w:szCs w:val="24"/>
        </w:rPr>
        <w:t xml:space="preserve"> court’s erroneous announcement of a </w:t>
      </w:r>
      <w:r w:rsidRPr="00ED6A1D">
        <w:rPr>
          <w:rFonts w:ascii="Times New Roman" w:hAnsi="Times New Roman" w:cs="Times New Roman"/>
          <w:sz w:val="24"/>
          <w:szCs w:val="24"/>
        </w:rPr>
        <w:t>new legal standard for a pooling arrangement</w:t>
      </w:r>
      <w:r w:rsidRPr="00096D8F">
        <w:rPr>
          <w:rFonts w:ascii="Times New Roman" w:hAnsi="Times New Roman" w:cs="Times New Roman"/>
          <w:sz w:val="24"/>
          <w:szCs w:val="24"/>
        </w:rPr>
        <w:t xml:space="preserve">, whereby the court incorrectly cited to </w:t>
      </w:r>
      <w:r w:rsidRPr="00096D8F">
        <w:rPr>
          <w:rFonts w:ascii="Times New Roman" w:hAnsi="Times New Roman" w:cs="Times New Roman"/>
          <w:i/>
          <w:sz w:val="24"/>
          <w:szCs w:val="24"/>
        </w:rPr>
        <w:t>Rent-A-Center</w:t>
      </w:r>
      <w:r w:rsidRPr="00096D8F">
        <w:rPr>
          <w:rFonts w:ascii="Times New Roman" w:hAnsi="Times New Roman" w:cs="Times New Roman"/>
          <w:sz w:val="24"/>
          <w:szCs w:val="24"/>
        </w:rPr>
        <w:t xml:space="preserve"> for a concept not presented in that case.  T</w:t>
      </w:r>
      <w:r w:rsidRPr="00ED6A1D">
        <w:rPr>
          <w:rFonts w:ascii="Times New Roman" w:hAnsi="Times New Roman" w:cs="Times New Roman"/>
          <w:sz w:val="24"/>
          <w:szCs w:val="24"/>
        </w:rPr>
        <w:t>he</w:t>
      </w:r>
      <w:r w:rsidRPr="00096D8F">
        <w:rPr>
          <w:rFonts w:ascii="Times New Roman" w:hAnsi="Times New Roman" w:cs="Times New Roman"/>
          <w:sz w:val="24"/>
          <w:szCs w:val="24"/>
        </w:rPr>
        <w:t xml:space="preserve"> Court was clearly erroneous in its analysis of the factual and expert witnesses.  The </w:t>
      </w:r>
      <w:r w:rsidRPr="00096D8F">
        <w:rPr>
          <w:rFonts w:ascii="Times New Roman" w:hAnsi="Times New Roman" w:cs="Times New Roman"/>
          <w:i/>
          <w:sz w:val="24"/>
          <w:szCs w:val="24"/>
        </w:rPr>
        <w:t>Reserve</w:t>
      </w:r>
      <w:r w:rsidRPr="00096D8F">
        <w:rPr>
          <w:rFonts w:ascii="Times New Roman" w:hAnsi="Times New Roman" w:cs="Times New Roman"/>
          <w:sz w:val="24"/>
          <w:szCs w:val="24"/>
        </w:rPr>
        <w:t xml:space="preserve"> Court went to great lengths to treat </w:t>
      </w:r>
      <w:r w:rsidRPr="00096D8F">
        <w:rPr>
          <w:rFonts w:ascii="Times New Roman" w:hAnsi="Times New Roman" w:cs="Times New Roman"/>
          <w:i/>
          <w:sz w:val="24"/>
          <w:szCs w:val="24"/>
        </w:rPr>
        <w:t>Avrahami</w:t>
      </w:r>
      <w:r w:rsidRPr="00096D8F">
        <w:rPr>
          <w:rFonts w:ascii="Times New Roman" w:hAnsi="Times New Roman" w:cs="Times New Roman"/>
          <w:sz w:val="24"/>
          <w:szCs w:val="24"/>
        </w:rPr>
        <w:t xml:space="preserve"> as controlling, citing</w:t>
      </w:r>
      <w:r>
        <w:rPr>
          <w:rFonts w:ascii="Times New Roman" w:hAnsi="Times New Roman" w:cs="Times New Roman"/>
          <w:sz w:val="24"/>
          <w:szCs w:val="24"/>
        </w:rPr>
        <w:t xml:space="preserve"> to </w:t>
      </w:r>
      <w:r w:rsidRPr="003C2930">
        <w:rPr>
          <w:rFonts w:ascii="Times New Roman" w:hAnsi="Times New Roman" w:cs="Times New Roman"/>
          <w:i/>
          <w:sz w:val="24"/>
          <w:szCs w:val="24"/>
        </w:rPr>
        <w:t>Avrahami</w:t>
      </w:r>
      <w:r>
        <w:rPr>
          <w:rFonts w:ascii="Times New Roman" w:hAnsi="Times New Roman" w:cs="Times New Roman"/>
          <w:sz w:val="24"/>
          <w:szCs w:val="24"/>
        </w:rPr>
        <w:t xml:space="preserve"> at least </w:t>
      </w:r>
      <w:r w:rsidRPr="003C2930">
        <w:rPr>
          <w:rFonts w:ascii="Times New Roman" w:hAnsi="Times New Roman" w:cs="Times New Roman"/>
          <w:sz w:val="24"/>
          <w:szCs w:val="24"/>
          <w:u w:val="single"/>
        </w:rPr>
        <w:t>12 different times</w:t>
      </w:r>
      <w:r w:rsidRPr="00573577">
        <w:rPr>
          <w:rFonts w:ascii="Times New Roman" w:hAnsi="Times New Roman" w:cs="Times New Roman"/>
          <w:sz w:val="24"/>
          <w:szCs w:val="24"/>
        </w:rPr>
        <w:t xml:space="preserve"> as the main support for its position despite the di</w:t>
      </w:r>
      <w:r>
        <w:rPr>
          <w:rFonts w:ascii="Times New Roman" w:hAnsi="Times New Roman" w:cs="Times New Roman"/>
          <w:sz w:val="24"/>
          <w:szCs w:val="24"/>
        </w:rPr>
        <w:t>ffering</w:t>
      </w:r>
      <w:r w:rsidRPr="00573577">
        <w:rPr>
          <w:rFonts w:ascii="Times New Roman" w:hAnsi="Times New Roman" w:cs="Times New Roman"/>
          <w:sz w:val="24"/>
          <w:szCs w:val="24"/>
        </w:rPr>
        <w:t xml:space="preserve"> factual and legal postures </w:t>
      </w:r>
      <w:r>
        <w:rPr>
          <w:rFonts w:ascii="Times New Roman" w:hAnsi="Times New Roman" w:cs="Times New Roman"/>
          <w:sz w:val="24"/>
          <w:szCs w:val="24"/>
        </w:rPr>
        <w:t>between</w:t>
      </w:r>
      <w:r w:rsidRPr="00573577">
        <w:rPr>
          <w:rFonts w:ascii="Times New Roman" w:hAnsi="Times New Roman" w:cs="Times New Roman"/>
          <w:sz w:val="24"/>
          <w:szCs w:val="24"/>
        </w:rPr>
        <w:t xml:space="preserve"> these </w:t>
      </w:r>
      <w:r>
        <w:rPr>
          <w:rFonts w:ascii="Times New Roman" w:hAnsi="Times New Roman" w:cs="Times New Roman"/>
          <w:sz w:val="24"/>
          <w:szCs w:val="24"/>
        </w:rPr>
        <w:t xml:space="preserve">two </w:t>
      </w:r>
      <w:r w:rsidRPr="00573577">
        <w:rPr>
          <w:rFonts w:ascii="Times New Roman" w:hAnsi="Times New Roman" w:cs="Times New Roman"/>
          <w:sz w:val="24"/>
          <w:szCs w:val="24"/>
        </w:rPr>
        <w:t>cases</w:t>
      </w:r>
      <w:r>
        <w:rPr>
          <w:rFonts w:ascii="Times New Roman" w:hAnsi="Times New Roman" w:cs="Times New Roman"/>
          <w:sz w:val="24"/>
          <w:szCs w:val="24"/>
        </w:rPr>
        <w:t>.</w:t>
      </w:r>
    </w:p>
    <w:p w14:paraId="2679E532" w14:textId="77777777" w:rsidR="000A2139" w:rsidRDefault="000A2139" w:rsidP="00B61CA0">
      <w:pPr>
        <w:spacing w:after="0" w:line="240" w:lineRule="auto"/>
        <w:rPr>
          <w:rFonts w:ascii="Times New Roman" w:hAnsi="Times New Roman" w:cs="Times New Roman"/>
          <w:sz w:val="24"/>
          <w:szCs w:val="24"/>
        </w:rPr>
      </w:pPr>
    </w:p>
    <w:p w14:paraId="2D5A6557" w14:textId="637699A6" w:rsidR="000A2139" w:rsidRDefault="000A2139" w:rsidP="005A39D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result was that the Court appeared to mold </w:t>
      </w:r>
      <w:r w:rsidRPr="00A06050">
        <w:rPr>
          <w:rFonts w:ascii="Times New Roman" w:hAnsi="Times New Roman" w:cs="Times New Roman"/>
          <w:i/>
          <w:sz w:val="24"/>
          <w:szCs w:val="24"/>
        </w:rPr>
        <w:t>Reserve</w:t>
      </w:r>
      <w:r>
        <w:rPr>
          <w:rFonts w:ascii="Times New Roman" w:hAnsi="Times New Roman" w:cs="Times New Roman"/>
          <w:sz w:val="24"/>
          <w:szCs w:val="24"/>
        </w:rPr>
        <w:t xml:space="preserve">’s facts and legal analysis into </w:t>
      </w:r>
      <w:r w:rsidRPr="0081396B">
        <w:rPr>
          <w:rFonts w:ascii="Times New Roman" w:hAnsi="Times New Roman" w:cs="Times New Roman"/>
          <w:i/>
          <w:sz w:val="24"/>
          <w:szCs w:val="24"/>
        </w:rPr>
        <w:t>Avrahami</w:t>
      </w:r>
      <w:r>
        <w:rPr>
          <w:rFonts w:ascii="Times New Roman" w:hAnsi="Times New Roman" w:cs="Times New Roman"/>
          <w:i/>
          <w:sz w:val="24"/>
          <w:szCs w:val="24"/>
        </w:rPr>
        <w:t xml:space="preserve"> </w:t>
      </w:r>
      <w:r>
        <w:rPr>
          <w:rFonts w:ascii="Times New Roman" w:hAnsi="Times New Roman" w:cs="Times New Roman"/>
          <w:sz w:val="24"/>
          <w:szCs w:val="24"/>
        </w:rPr>
        <w:t xml:space="preserve">without regard to (i) the issues presented and briefed, (ii) the evidence before it, (iii) the concessions by the government; and (iv) the differing jurisdictional posture of the cases.  On the jurisdictional issue, </w:t>
      </w:r>
      <w:r w:rsidRPr="00A63830">
        <w:rPr>
          <w:rFonts w:ascii="Times New Roman" w:hAnsi="Times New Roman" w:cs="Times New Roman"/>
          <w:sz w:val="24"/>
          <w:szCs w:val="24"/>
        </w:rPr>
        <w:t xml:space="preserve">in </w:t>
      </w:r>
      <w:r w:rsidRPr="00A63830">
        <w:rPr>
          <w:rFonts w:ascii="Times New Roman" w:hAnsi="Times New Roman" w:cs="Times New Roman"/>
          <w:i/>
          <w:sz w:val="24"/>
          <w:szCs w:val="24"/>
        </w:rPr>
        <w:t>Reserve</w:t>
      </w:r>
      <w:r w:rsidRPr="00A63830">
        <w:rPr>
          <w:rFonts w:ascii="Times New Roman" w:hAnsi="Times New Roman" w:cs="Times New Roman"/>
          <w:sz w:val="24"/>
          <w:szCs w:val="24"/>
        </w:rPr>
        <w:t>, only the</w:t>
      </w:r>
      <w:r>
        <w:rPr>
          <w:rFonts w:ascii="Times New Roman" w:hAnsi="Times New Roman" w:cs="Times New Roman"/>
          <w:sz w:val="24"/>
          <w:szCs w:val="24"/>
        </w:rPr>
        <w:t xml:space="preserve"> captive – and neither the insureds nor the pooling arrangement nor the owners of the insureds – were before the Court.  In contrast, in </w:t>
      </w:r>
      <w:r w:rsidRPr="00BD5C98">
        <w:rPr>
          <w:rFonts w:ascii="Times New Roman" w:hAnsi="Times New Roman" w:cs="Times New Roman"/>
          <w:i/>
          <w:sz w:val="24"/>
          <w:szCs w:val="24"/>
        </w:rPr>
        <w:t>Avrahami</w:t>
      </w:r>
      <w:r>
        <w:rPr>
          <w:rFonts w:ascii="Times New Roman" w:hAnsi="Times New Roman" w:cs="Times New Roman"/>
          <w:sz w:val="24"/>
          <w:szCs w:val="24"/>
        </w:rPr>
        <w:t xml:space="preserve">, the insurer, the insureds and their owners were all before the court.  </w:t>
      </w:r>
    </w:p>
    <w:p w14:paraId="7FEE7A97" w14:textId="77777777" w:rsidR="000A2139" w:rsidRDefault="000A2139" w:rsidP="005A39D4">
      <w:pPr>
        <w:spacing w:after="0" w:line="240" w:lineRule="auto"/>
        <w:rPr>
          <w:rFonts w:ascii="Times New Roman" w:hAnsi="Times New Roman" w:cs="Times New Roman"/>
          <w:sz w:val="24"/>
          <w:szCs w:val="24"/>
        </w:rPr>
      </w:pPr>
    </w:p>
    <w:p w14:paraId="7AE1F7B3" w14:textId="42996539" w:rsidR="000A2139" w:rsidRDefault="000A2139" w:rsidP="00663C7F">
      <w:pPr>
        <w:spacing w:after="0" w:line="240" w:lineRule="auto"/>
        <w:rPr>
          <w:rFonts w:ascii="Times New Roman" w:hAnsi="Times New Roman" w:cs="Times New Roman"/>
          <w:sz w:val="24"/>
          <w:szCs w:val="24"/>
        </w:rPr>
      </w:pPr>
      <w:r w:rsidRPr="002B1132">
        <w:rPr>
          <w:rFonts w:ascii="Times New Roman" w:hAnsi="Times New Roman" w:cs="Times New Roman"/>
          <w:sz w:val="24"/>
          <w:szCs w:val="24"/>
        </w:rPr>
        <w:t xml:space="preserve">The little analysis seen in </w:t>
      </w:r>
      <w:r w:rsidRPr="002B1132">
        <w:rPr>
          <w:rFonts w:ascii="Times New Roman" w:hAnsi="Times New Roman" w:cs="Times New Roman"/>
          <w:i/>
          <w:sz w:val="24"/>
          <w:szCs w:val="24"/>
        </w:rPr>
        <w:t>Reserve</w:t>
      </w:r>
      <w:r w:rsidRPr="002B1132">
        <w:rPr>
          <w:rFonts w:ascii="Times New Roman" w:hAnsi="Times New Roman" w:cs="Times New Roman"/>
          <w:sz w:val="24"/>
          <w:szCs w:val="24"/>
        </w:rPr>
        <w:t xml:space="preserve"> appeared to </w:t>
      </w:r>
      <w:r w:rsidRPr="00BC7338">
        <w:rPr>
          <w:rFonts w:ascii="Times New Roman" w:hAnsi="Times New Roman" w:cs="Times New Roman"/>
          <w:sz w:val="24"/>
          <w:szCs w:val="24"/>
        </w:rPr>
        <w:t>essentially mirror the three</w:t>
      </w:r>
      <w:r w:rsidRPr="002B1132">
        <w:rPr>
          <w:rFonts w:ascii="Times New Roman" w:hAnsi="Times New Roman" w:cs="Times New Roman"/>
          <w:sz w:val="24"/>
          <w:szCs w:val="24"/>
        </w:rPr>
        <w:t xml:space="preserve"> main sections of the </w:t>
      </w:r>
      <w:r w:rsidRPr="002B1132">
        <w:rPr>
          <w:rFonts w:ascii="Times New Roman" w:hAnsi="Times New Roman" w:cs="Times New Roman"/>
          <w:i/>
          <w:sz w:val="24"/>
          <w:szCs w:val="24"/>
        </w:rPr>
        <w:t>Avrahami</w:t>
      </w:r>
      <w:r w:rsidRPr="002B1132">
        <w:rPr>
          <w:rFonts w:ascii="Times New Roman" w:hAnsi="Times New Roman" w:cs="Times New Roman"/>
          <w:sz w:val="24"/>
          <w:szCs w:val="24"/>
        </w:rPr>
        <w:t xml:space="preserve"> opinion without regard to the evidence presented by the twelve witnesses – two</w:t>
      </w:r>
      <w:r w:rsidRPr="002B1132">
        <w:rPr>
          <w:rStyle w:val="EndnoteReference"/>
          <w:rFonts w:ascii="Times New Roman" w:hAnsi="Times New Roman" w:cs="Times New Roman"/>
          <w:sz w:val="24"/>
          <w:szCs w:val="24"/>
        </w:rPr>
        <w:endnoteReference w:id="15"/>
      </w:r>
      <w:r w:rsidRPr="002B1132">
        <w:rPr>
          <w:rFonts w:ascii="Times New Roman" w:hAnsi="Times New Roman" w:cs="Times New Roman"/>
          <w:sz w:val="24"/>
          <w:szCs w:val="24"/>
        </w:rPr>
        <w:t xml:space="preserve"> from the government and ten from the petitioner, Reserve.  Among</w:t>
      </w:r>
      <w:r w:rsidRPr="00B106FD">
        <w:rPr>
          <w:rFonts w:ascii="Times New Roman" w:hAnsi="Times New Roman" w:cs="Times New Roman"/>
          <w:sz w:val="24"/>
          <w:szCs w:val="24"/>
        </w:rPr>
        <w:t xml:space="preserve"> these were </w:t>
      </w:r>
      <w:r>
        <w:rPr>
          <w:rFonts w:ascii="Times New Roman" w:hAnsi="Times New Roman" w:cs="Times New Roman"/>
          <w:sz w:val="24"/>
          <w:szCs w:val="24"/>
        </w:rPr>
        <w:t>3</w:t>
      </w:r>
      <w:r w:rsidRPr="00B106FD">
        <w:rPr>
          <w:rFonts w:ascii="Times New Roman" w:hAnsi="Times New Roman" w:cs="Times New Roman"/>
          <w:sz w:val="24"/>
          <w:szCs w:val="24"/>
        </w:rPr>
        <w:t xml:space="preserve"> fact witnesses and 7 expert witnesses testifying for Reserve, with one </w:t>
      </w:r>
      <w:r>
        <w:rPr>
          <w:rFonts w:ascii="Times New Roman" w:hAnsi="Times New Roman" w:cs="Times New Roman"/>
          <w:sz w:val="24"/>
          <w:szCs w:val="24"/>
        </w:rPr>
        <w:t xml:space="preserve">expert witness and one minor </w:t>
      </w:r>
      <w:r w:rsidRPr="00B106FD">
        <w:rPr>
          <w:rFonts w:ascii="Times New Roman" w:hAnsi="Times New Roman" w:cs="Times New Roman"/>
          <w:sz w:val="24"/>
          <w:szCs w:val="24"/>
        </w:rPr>
        <w:t xml:space="preserve">fact witness testifying for the government.  </w:t>
      </w:r>
      <w:r>
        <w:rPr>
          <w:rFonts w:ascii="Times New Roman" w:hAnsi="Times New Roman" w:cs="Times New Roman"/>
          <w:sz w:val="24"/>
          <w:szCs w:val="24"/>
        </w:rPr>
        <w:t xml:space="preserve">Rather than analyzing the expert and fact witnesses’ testimony, the Court erred by relying on its own experiences and on an erroneous legal concept that was first announced in </w:t>
      </w:r>
      <w:r w:rsidRPr="001836EC">
        <w:rPr>
          <w:rFonts w:ascii="Times New Roman" w:hAnsi="Times New Roman" w:cs="Times New Roman"/>
          <w:i/>
          <w:sz w:val="24"/>
          <w:szCs w:val="24"/>
        </w:rPr>
        <w:t>Avrahami</w:t>
      </w:r>
      <w:r>
        <w:rPr>
          <w:rFonts w:ascii="Times New Roman" w:hAnsi="Times New Roman" w:cs="Times New Roman"/>
          <w:sz w:val="24"/>
          <w:szCs w:val="24"/>
        </w:rPr>
        <w:t>.</w:t>
      </w:r>
    </w:p>
    <w:p w14:paraId="49E8902D" w14:textId="77777777" w:rsidR="000A2139" w:rsidRDefault="000A2139" w:rsidP="00663C7F">
      <w:pPr>
        <w:spacing w:after="0" w:line="240" w:lineRule="auto"/>
        <w:rPr>
          <w:rFonts w:ascii="Times New Roman" w:hAnsi="Times New Roman" w:cs="Times New Roman"/>
          <w:sz w:val="24"/>
          <w:szCs w:val="24"/>
        </w:rPr>
      </w:pPr>
    </w:p>
    <w:p w14:paraId="79EFFBD1" w14:textId="77777777" w:rsidR="000A2139" w:rsidRPr="00663C7F" w:rsidRDefault="000A2139" w:rsidP="00663C7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three main issues addressed by the Court in the </w:t>
      </w:r>
      <w:r w:rsidRPr="008677A9">
        <w:rPr>
          <w:rFonts w:ascii="Times New Roman" w:hAnsi="Times New Roman" w:cs="Times New Roman"/>
          <w:i/>
          <w:sz w:val="24"/>
          <w:szCs w:val="24"/>
        </w:rPr>
        <w:t>Reserve</w:t>
      </w:r>
      <w:r>
        <w:rPr>
          <w:rFonts w:ascii="Times New Roman" w:hAnsi="Times New Roman" w:cs="Times New Roman"/>
          <w:sz w:val="24"/>
          <w:szCs w:val="24"/>
        </w:rPr>
        <w:t xml:space="preserve"> Opinion, using </w:t>
      </w:r>
      <w:r w:rsidRPr="00C87357">
        <w:rPr>
          <w:rFonts w:ascii="Times New Roman" w:hAnsi="Times New Roman" w:cs="Times New Roman"/>
          <w:i/>
          <w:sz w:val="24"/>
          <w:szCs w:val="24"/>
        </w:rPr>
        <w:t>Avrahami</w:t>
      </w:r>
      <w:r>
        <w:rPr>
          <w:rFonts w:ascii="Times New Roman" w:hAnsi="Times New Roman" w:cs="Times New Roman"/>
          <w:sz w:val="24"/>
          <w:szCs w:val="24"/>
        </w:rPr>
        <w:t xml:space="preserve"> as its template, were as follows:</w:t>
      </w:r>
    </w:p>
    <w:p w14:paraId="069C693B" w14:textId="77777777" w:rsidR="000A2139" w:rsidRPr="00663C7F" w:rsidRDefault="000A2139" w:rsidP="00663C7F">
      <w:pPr>
        <w:spacing w:after="0" w:line="240" w:lineRule="auto"/>
        <w:rPr>
          <w:rFonts w:ascii="Times New Roman" w:hAnsi="Times New Roman" w:cs="Times New Roman"/>
          <w:sz w:val="24"/>
          <w:szCs w:val="24"/>
        </w:rPr>
      </w:pPr>
    </w:p>
    <w:p w14:paraId="397DA9EA" w14:textId="77777777" w:rsidR="000A2139" w:rsidRPr="00663C7F" w:rsidRDefault="000A2139" w:rsidP="005C6D3B">
      <w:pPr>
        <w:numPr>
          <w:ilvl w:val="0"/>
          <w:numId w:val="2"/>
        </w:numPr>
        <w:spacing w:after="0" w:line="240" w:lineRule="auto"/>
        <w:contextualSpacing/>
        <w:rPr>
          <w:rFonts w:ascii="Times New Roman" w:hAnsi="Times New Roman" w:cs="Times New Roman"/>
          <w:sz w:val="24"/>
          <w:szCs w:val="24"/>
        </w:rPr>
      </w:pPr>
      <w:r w:rsidRPr="00663C7F">
        <w:rPr>
          <w:rFonts w:ascii="Times New Roman" w:hAnsi="Times New Roman" w:cs="Times New Roman"/>
          <w:sz w:val="24"/>
          <w:szCs w:val="24"/>
        </w:rPr>
        <w:t xml:space="preserve">whether </w:t>
      </w:r>
      <w:r w:rsidRPr="00663C7F">
        <w:rPr>
          <w:rFonts w:ascii="Times New Roman" w:hAnsi="Times New Roman" w:cs="Times New Roman"/>
          <w:b/>
          <w:sz w:val="24"/>
          <w:szCs w:val="24"/>
        </w:rPr>
        <w:t>risk distribution</w:t>
      </w:r>
      <w:r w:rsidRPr="00663C7F">
        <w:rPr>
          <w:rFonts w:ascii="Times New Roman" w:hAnsi="Times New Roman" w:cs="Times New Roman"/>
          <w:sz w:val="24"/>
          <w:szCs w:val="24"/>
        </w:rPr>
        <w:t xml:space="preserve"> was achieved </w:t>
      </w:r>
      <w:r>
        <w:rPr>
          <w:rFonts w:ascii="Times New Roman" w:hAnsi="Times New Roman" w:cs="Times New Roman"/>
          <w:sz w:val="24"/>
          <w:szCs w:val="24"/>
        </w:rPr>
        <w:t xml:space="preserve">by Reserve, aided by its participation in </w:t>
      </w:r>
      <w:r w:rsidRPr="00663C7F">
        <w:rPr>
          <w:rFonts w:ascii="Times New Roman" w:hAnsi="Times New Roman" w:cs="Times New Roman"/>
          <w:sz w:val="24"/>
          <w:szCs w:val="24"/>
        </w:rPr>
        <w:t>a pooling arrangement</w:t>
      </w:r>
      <w:r>
        <w:rPr>
          <w:rFonts w:ascii="Times New Roman" w:hAnsi="Times New Roman" w:cs="Times New Roman"/>
          <w:sz w:val="24"/>
          <w:szCs w:val="24"/>
        </w:rPr>
        <w:t xml:space="preserve">, with </w:t>
      </w:r>
      <w:r w:rsidRPr="00580664">
        <w:rPr>
          <w:rFonts w:ascii="Times New Roman" w:hAnsi="Times New Roman" w:cs="Times New Roman"/>
          <w:b/>
          <w:sz w:val="24"/>
          <w:szCs w:val="24"/>
        </w:rPr>
        <w:t xml:space="preserve">whether Reserve </w:t>
      </w:r>
      <w:r>
        <w:rPr>
          <w:rFonts w:ascii="Times New Roman" w:hAnsi="Times New Roman" w:cs="Times New Roman"/>
          <w:b/>
          <w:sz w:val="24"/>
          <w:szCs w:val="24"/>
        </w:rPr>
        <w:t>wa</w:t>
      </w:r>
      <w:r w:rsidRPr="00580664">
        <w:rPr>
          <w:rFonts w:ascii="Times New Roman" w:hAnsi="Times New Roman" w:cs="Times New Roman"/>
          <w:b/>
          <w:sz w:val="24"/>
          <w:szCs w:val="24"/>
        </w:rPr>
        <w:t>s an insurance company</w:t>
      </w:r>
      <w:r>
        <w:rPr>
          <w:rFonts w:ascii="Times New Roman" w:hAnsi="Times New Roman" w:cs="Times New Roman"/>
          <w:sz w:val="24"/>
          <w:szCs w:val="24"/>
        </w:rPr>
        <w:t xml:space="preserve"> (per the Court) being the threshold issue;</w:t>
      </w:r>
    </w:p>
    <w:p w14:paraId="24EC59AA" w14:textId="77777777" w:rsidR="000A2139" w:rsidRPr="00663C7F" w:rsidRDefault="000A2139" w:rsidP="00663C7F">
      <w:pPr>
        <w:spacing w:after="0" w:line="240" w:lineRule="auto"/>
        <w:rPr>
          <w:rFonts w:ascii="Times New Roman" w:hAnsi="Times New Roman" w:cs="Times New Roman"/>
          <w:sz w:val="24"/>
          <w:szCs w:val="24"/>
        </w:rPr>
      </w:pPr>
    </w:p>
    <w:p w14:paraId="1A389891" w14:textId="70B7D0A9" w:rsidR="000A2139" w:rsidRPr="00663C7F" w:rsidRDefault="000A2139" w:rsidP="005C6D3B">
      <w:pPr>
        <w:numPr>
          <w:ilvl w:val="0"/>
          <w:numId w:val="2"/>
        </w:numPr>
        <w:spacing w:after="0" w:line="240" w:lineRule="auto"/>
        <w:contextualSpacing/>
        <w:rPr>
          <w:rFonts w:ascii="Times New Roman" w:hAnsi="Times New Roman" w:cs="Times New Roman"/>
          <w:sz w:val="24"/>
          <w:szCs w:val="24"/>
        </w:rPr>
      </w:pPr>
      <w:r w:rsidRPr="00663C7F">
        <w:rPr>
          <w:rFonts w:ascii="Times New Roman" w:hAnsi="Times New Roman" w:cs="Times New Roman"/>
          <w:sz w:val="24"/>
          <w:szCs w:val="24"/>
        </w:rPr>
        <w:t xml:space="preserve">whether </w:t>
      </w:r>
      <w:r>
        <w:rPr>
          <w:rFonts w:ascii="Times New Roman" w:hAnsi="Times New Roman" w:cs="Times New Roman"/>
          <w:sz w:val="24"/>
          <w:szCs w:val="24"/>
        </w:rPr>
        <w:t xml:space="preserve">Reserve’s </w:t>
      </w:r>
      <w:r w:rsidRPr="00663C7F">
        <w:rPr>
          <w:rFonts w:ascii="Times New Roman" w:hAnsi="Times New Roman" w:cs="Times New Roman"/>
          <w:sz w:val="24"/>
          <w:szCs w:val="24"/>
        </w:rPr>
        <w:t xml:space="preserve">transactions were </w:t>
      </w:r>
      <w:r w:rsidRPr="00663C7F">
        <w:rPr>
          <w:rFonts w:ascii="Times New Roman" w:hAnsi="Times New Roman" w:cs="Times New Roman"/>
          <w:b/>
          <w:sz w:val="24"/>
          <w:szCs w:val="24"/>
        </w:rPr>
        <w:t>insurance in the commonly accepted sense</w:t>
      </w:r>
      <w:r>
        <w:rPr>
          <w:rFonts w:ascii="Times New Roman" w:hAnsi="Times New Roman" w:cs="Times New Roman"/>
          <w:sz w:val="24"/>
          <w:szCs w:val="24"/>
        </w:rPr>
        <w:t>;</w:t>
      </w:r>
      <w:r w:rsidRPr="00663C7F">
        <w:rPr>
          <w:rFonts w:ascii="Times New Roman" w:hAnsi="Times New Roman" w:cs="Times New Roman"/>
          <w:sz w:val="24"/>
          <w:szCs w:val="24"/>
        </w:rPr>
        <w:t xml:space="preserve"> and</w:t>
      </w:r>
    </w:p>
    <w:p w14:paraId="0841A2EF" w14:textId="77777777" w:rsidR="000A2139" w:rsidRPr="00663C7F" w:rsidRDefault="000A2139" w:rsidP="00663C7F">
      <w:pPr>
        <w:ind w:left="720"/>
        <w:contextualSpacing/>
        <w:rPr>
          <w:rFonts w:ascii="Times New Roman" w:hAnsi="Times New Roman" w:cs="Times New Roman"/>
          <w:sz w:val="24"/>
          <w:szCs w:val="24"/>
        </w:rPr>
      </w:pPr>
    </w:p>
    <w:p w14:paraId="59145D66" w14:textId="77777777" w:rsidR="000A2139" w:rsidRPr="00663C7F" w:rsidRDefault="000A2139" w:rsidP="005C6D3B">
      <w:pPr>
        <w:numPr>
          <w:ilvl w:val="0"/>
          <w:numId w:val="2"/>
        </w:num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lastRenderedPageBreak/>
        <w:t>the</w:t>
      </w:r>
      <w:r w:rsidRPr="00663C7F">
        <w:rPr>
          <w:rFonts w:ascii="Times New Roman" w:hAnsi="Times New Roman" w:cs="Times New Roman"/>
          <w:sz w:val="24"/>
          <w:szCs w:val="24"/>
        </w:rPr>
        <w:t xml:space="preserve"> </w:t>
      </w:r>
      <w:r w:rsidRPr="00663C7F">
        <w:rPr>
          <w:rFonts w:ascii="Times New Roman" w:hAnsi="Times New Roman" w:cs="Times New Roman"/>
          <w:b/>
          <w:sz w:val="24"/>
          <w:szCs w:val="24"/>
        </w:rPr>
        <w:t>tax consequences</w:t>
      </w:r>
      <w:r>
        <w:rPr>
          <w:rFonts w:ascii="Times New Roman" w:hAnsi="Times New Roman" w:cs="Times New Roman"/>
          <w:b/>
          <w:sz w:val="24"/>
          <w:szCs w:val="24"/>
        </w:rPr>
        <w:t xml:space="preserve"> </w:t>
      </w:r>
      <w:proofErr w:type="gramStart"/>
      <w:r w:rsidRPr="00663C7F">
        <w:rPr>
          <w:rFonts w:ascii="Times New Roman" w:hAnsi="Times New Roman" w:cs="Times New Roman"/>
          <w:sz w:val="24"/>
          <w:szCs w:val="24"/>
        </w:rPr>
        <w:t>taking into account</w:t>
      </w:r>
      <w:proofErr w:type="gramEnd"/>
      <w:r w:rsidRPr="00663C7F">
        <w:rPr>
          <w:rFonts w:ascii="Times New Roman" w:hAnsi="Times New Roman" w:cs="Times New Roman"/>
          <w:sz w:val="24"/>
          <w:szCs w:val="24"/>
        </w:rPr>
        <w:t xml:space="preserve"> the Court’s conclusions with respect to each of the first two issues above.</w:t>
      </w:r>
    </w:p>
    <w:p w14:paraId="7D500331" w14:textId="1561BC06" w:rsidR="000A2139" w:rsidRDefault="000A2139" w:rsidP="005A39D4">
      <w:pPr>
        <w:spacing w:after="0" w:line="240" w:lineRule="auto"/>
        <w:rPr>
          <w:rFonts w:ascii="Times New Roman" w:hAnsi="Times New Roman" w:cs="Times New Roman"/>
          <w:sz w:val="24"/>
          <w:szCs w:val="24"/>
          <w:u w:val="single"/>
        </w:rPr>
      </w:pPr>
    </w:p>
    <w:p w14:paraId="6176E37B" w14:textId="1193FF28" w:rsidR="000A2139" w:rsidRPr="008D46EF" w:rsidRDefault="000A2139" w:rsidP="008D46EF">
      <w:pPr>
        <w:pStyle w:val="Heading2"/>
        <w:spacing w:before="0" w:line="240" w:lineRule="auto"/>
        <w:rPr>
          <w:rFonts w:ascii="Times New Roman" w:hAnsi="Times New Roman" w:cs="Times New Roman"/>
          <w:b/>
          <w:color w:val="auto"/>
          <w:sz w:val="24"/>
          <w:szCs w:val="24"/>
          <w:u w:val="single"/>
        </w:rPr>
      </w:pPr>
      <w:bookmarkStart w:id="7" w:name="_Toc533076775"/>
      <w:bookmarkStart w:id="8" w:name="_Toc534366165"/>
      <w:r w:rsidRPr="008D46EF">
        <w:rPr>
          <w:rFonts w:ascii="Times New Roman" w:hAnsi="Times New Roman" w:cs="Times New Roman"/>
          <w:b/>
          <w:color w:val="auto"/>
          <w:sz w:val="24"/>
          <w:szCs w:val="24"/>
          <w:u w:val="single"/>
        </w:rPr>
        <w:t>Comparison/Contrast of the Issues Considered in Both Cases</w:t>
      </w:r>
      <w:bookmarkEnd w:id="7"/>
      <w:bookmarkEnd w:id="8"/>
    </w:p>
    <w:p w14:paraId="0C0776B5" w14:textId="77777777" w:rsidR="000A2139" w:rsidRDefault="000A2139" w:rsidP="005A39D4">
      <w:pPr>
        <w:spacing w:after="0" w:line="240" w:lineRule="auto"/>
        <w:rPr>
          <w:rFonts w:ascii="Times New Roman" w:hAnsi="Times New Roman" w:cs="Times New Roman"/>
          <w:sz w:val="24"/>
          <w:szCs w:val="24"/>
          <w:u w:val="single"/>
        </w:rPr>
      </w:pPr>
    </w:p>
    <w:p w14:paraId="019779A6" w14:textId="548C8FD8" w:rsidR="000A2139" w:rsidRDefault="000A2139" w:rsidP="00CD7DAC">
      <w:pPr>
        <w:spacing w:after="0" w:line="240" w:lineRule="auto"/>
        <w:rPr>
          <w:rFonts w:ascii="Times New Roman" w:hAnsi="Times New Roman" w:cs="Times New Roman"/>
          <w:sz w:val="24"/>
          <w:szCs w:val="24"/>
        </w:rPr>
      </w:pPr>
      <w:r w:rsidRPr="00663C7F">
        <w:rPr>
          <w:rFonts w:ascii="Times New Roman" w:hAnsi="Times New Roman" w:cs="Times New Roman"/>
          <w:sz w:val="24"/>
          <w:szCs w:val="24"/>
        </w:rPr>
        <w:t xml:space="preserve">A side-by-side comparison of each of the three main issues analyzed in both </w:t>
      </w:r>
      <w:r w:rsidRPr="00663C7F">
        <w:rPr>
          <w:rFonts w:ascii="Times New Roman" w:hAnsi="Times New Roman" w:cs="Times New Roman"/>
          <w:i/>
          <w:sz w:val="24"/>
          <w:szCs w:val="24"/>
        </w:rPr>
        <w:t>Avrahami</w:t>
      </w:r>
      <w:r w:rsidRPr="00663C7F">
        <w:rPr>
          <w:rFonts w:ascii="Times New Roman" w:hAnsi="Times New Roman" w:cs="Times New Roman"/>
          <w:sz w:val="24"/>
          <w:szCs w:val="24"/>
        </w:rPr>
        <w:t xml:space="preserve"> and </w:t>
      </w:r>
      <w:r w:rsidRPr="00663C7F">
        <w:rPr>
          <w:rFonts w:ascii="Times New Roman" w:hAnsi="Times New Roman" w:cs="Times New Roman"/>
          <w:i/>
          <w:sz w:val="24"/>
          <w:szCs w:val="24"/>
        </w:rPr>
        <w:t>Reserve</w:t>
      </w:r>
      <w:r w:rsidRPr="00663C7F">
        <w:rPr>
          <w:rFonts w:ascii="Times New Roman" w:hAnsi="Times New Roman" w:cs="Times New Roman"/>
          <w:sz w:val="24"/>
          <w:szCs w:val="24"/>
        </w:rPr>
        <w:t xml:space="preserve"> is included </w:t>
      </w:r>
      <w:r w:rsidRPr="0080096B">
        <w:rPr>
          <w:rFonts w:ascii="Times New Roman" w:hAnsi="Times New Roman" w:cs="Times New Roman"/>
          <w:sz w:val="24"/>
          <w:szCs w:val="24"/>
        </w:rPr>
        <w:t>below.  Each table shows the similar format between the two opinions.  As discussed later in this article, the “shoehorn approach</w:t>
      </w:r>
      <w:r w:rsidRPr="00663C7F">
        <w:rPr>
          <w:rFonts w:ascii="Times New Roman" w:hAnsi="Times New Roman" w:cs="Times New Roman"/>
          <w:sz w:val="24"/>
          <w:szCs w:val="24"/>
        </w:rPr>
        <w:t xml:space="preserve">” employed by the Court in </w:t>
      </w:r>
      <w:r w:rsidRPr="00663C7F">
        <w:rPr>
          <w:rFonts w:ascii="Times New Roman" w:hAnsi="Times New Roman" w:cs="Times New Roman"/>
          <w:i/>
          <w:sz w:val="24"/>
          <w:szCs w:val="24"/>
        </w:rPr>
        <w:t>Reserve</w:t>
      </w:r>
      <w:r w:rsidRPr="00663C7F">
        <w:rPr>
          <w:rFonts w:ascii="Times New Roman" w:hAnsi="Times New Roman" w:cs="Times New Roman"/>
          <w:sz w:val="24"/>
          <w:szCs w:val="24"/>
        </w:rPr>
        <w:t xml:space="preserve"> does not reflect </w:t>
      </w:r>
      <w:r>
        <w:rPr>
          <w:rFonts w:ascii="Times New Roman" w:hAnsi="Times New Roman" w:cs="Times New Roman"/>
          <w:sz w:val="24"/>
          <w:szCs w:val="24"/>
        </w:rPr>
        <w:t xml:space="preserve">an adequate </w:t>
      </w:r>
      <w:r w:rsidRPr="00663C7F">
        <w:rPr>
          <w:rFonts w:ascii="Times New Roman" w:hAnsi="Times New Roman" w:cs="Times New Roman"/>
          <w:sz w:val="24"/>
          <w:szCs w:val="24"/>
        </w:rPr>
        <w:t xml:space="preserve">analysis of the </w:t>
      </w:r>
      <w:r>
        <w:rPr>
          <w:rFonts w:ascii="Times New Roman" w:hAnsi="Times New Roman" w:cs="Times New Roman"/>
          <w:sz w:val="24"/>
          <w:szCs w:val="24"/>
        </w:rPr>
        <w:t>legal and factual issues presented.</w:t>
      </w:r>
    </w:p>
    <w:p w14:paraId="2F77264A" w14:textId="77777777" w:rsidR="006915EA" w:rsidRDefault="006915EA" w:rsidP="00CD7DAC">
      <w:pPr>
        <w:spacing w:after="0" w:line="240" w:lineRule="auto"/>
        <w:rPr>
          <w:rFonts w:ascii="Times New Roman" w:hAnsi="Times New Roman" w:cs="Times New Roman"/>
          <w:sz w:val="24"/>
          <w:szCs w:val="24"/>
        </w:rPr>
      </w:pPr>
    </w:p>
    <w:p w14:paraId="647F0E01" w14:textId="41DBC310" w:rsidR="000A2139" w:rsidRPr="003B6C4F" w:rsidRDefault="000A2139" w:rsidP="003B6C4F">
      <w:pPr>
        <w:pStyle w:val="Heading2"/>
        <w:spacing w:before="0" w:line="240" w:lineRule="auto"/>
        <w:rPr>
          <w:rFonts w:ascii="Times New Roman" w:hAnsi="Times New Roman" w:cs="Times New Roman"/>
          <w:b/>
          <w:color w:val="auto"/>
          <w:sz w:val="24"/>
          <w:szCs w:val="24"/>
        </w:rPr>
      </w:pPr>
      <w:bookmarkStart w:id="9" w:name="_Toc534366166"/>
      <w:r w:rsidRPr="003B6C4F">
        <w:rPr>
          <w:rFonts w:ascii="Times New Roman" w:hAnsi="Times New Roman" w:cs="Times New Roman"/>
          <w:b/>
          <w:color w:val="auto"/>
          <w:sz w:val="24"/>
          <w:szCs w:val="24"/>
        </w:rPr>
        <w:t>A.  Risk Distribution</w:t>
      </w:r>
      <w:bookmarkEnd w:id="9"/>
    </w:p>
    <w:p w14:paraId="794920CD" w14:textId="77777777" w:rsidR="000A2139" w:rsidRPr="00CF4DC2" w:rsidRDefault="000A2139" w:rsidP="00CF4DC2">
      <w:pPr>
        <w:spacing w:after="0" w:line="240" w:lineRule="auto"/>
        <w:rPr>
          <w:rFonts w:ascii="Times New Roman" w:hAnsi="Times New Roman" w:cs="Times New Roman"/>
          <w:sz w:val="24"/>
          <w:szCs w:val="24"/>
        </w:rPr>
      </w:pPr>
    </w:p>
    <w:tbl>
      <w:tblPr>
        <w:tblStyle w:val="TableGrid1"/>
        <w:tblW w:w="9625" w:type="dxa"/>
        <w:tblLook w:val="04A0" w:firstRow="1" w:lastRow="0" w:firstColumn="1" w:lastColumn="0" w:noHBand="0" w:noVBand="1"/>
      </w:tblPr>
      <w:tblGrid>
        <w:gridCol w:w="4675"/>
        <w:gridCol w:w="4950"/>
      </w:tblGrid>
      <w:tr w:rsidR="000A2139" w:rsidRPr="00CF4DC2" w14:paraId="158861C0" w14:textId="77777777" w:rsidTr="00D9767D">
        <w:trPr>
          <w:tblHeader/>
        </w:trPr>
        <w:tc>
          <w:tcPr>
            <w:tcW w:w="4675" w:type="dxa"/>
          </w:tcPr>
          <w:p w14:paraId="057C584E" w14:textId="77777777" w:rsidR="000A2139" w:rsidRPr="00FB1742" w:rsidRDefault="000A2139" w:rsidP="00D9767D">
            <w:pPr>
              <w:jc w:val="center"/>
              <w:rPr>
                <w:rFonts w:ascii="Times New Roman" w:hAnsi="Times New Roman" w:cs="Times New Roman"/>
                <w:b/>
                <w:i/>
                <w:u w:val="single"/>
              </w:rPr>
            </w:pPr>
            <w:bookmarkStart w:id="10" w:name="_Hlk525124136"/>
            <w:r w:rsidRPr="00FB1742">
              <w:rPr>
                <w:rFonts w:ascii="Times New Roman" w:hAnsi="Times New Roman" w:cs="Times New Roman"/>
                <w:b/>
                <w:i/>
                <w:u w:val="single"/>
              </w:rPr>
              <w:t>Avrahami</w:t>
            </w:r>
          </w:p>
          <w:p w14:paraId="0E545752" w14:textId="77777777" w:rsidR="000A2139" w:rsidRPr="00FB1742" w:rsidRDefault="000A2139" w:rsidP="00FB1742">
            <w:pPr>
              <w:rPr>
                <w:rFonts w:ascii="Times New Roman" w:hAnsi="Times New Roman" w:cs="Times New Roman"/>
                <w:u w:val="single"/>
              </w:rPr>
            </w:pPr>
          </w:p>
        </w:tc>
        <w:tc>
          <w:tcPr>
            <w:tcW w:w="4950" w:type="dxa"/>
          </w:tcPr>
          <w:p w14:paraId="54A693FE" w14:textId="77777777" w:rsidR="000A2139" w:rsidRPr="00FB1742" w:rsidRDefault="000A2139" w:rsidP="00D9767D">
            <w:pPr>
              <w:jc w:val="center"/>
              <w:rPr>
                <w:rFonts w:ascii="Times New Roman" w:hAnsi="Times New Roman" w:cs="Times New Roman"/>
                <w:u w:val="single"/>
              </w:rPr>
            </w:pPr>
            <w:r w:rsidRPr="00FB1742">
              <w:rPr>
                <w:rFonts w:ascii="Times New Roman" w:hAnsi="Times New Roman" w:cs="Times New Roman"/>
                <w:b/>
                <w:i/>
                <w:u w:val="single"/>
              </w:rPr>
              <w:t>Reserve</w:t>
            </w:r>
          </w:p>
        </w:tc>
      </w:tr>
      <w:bookmarkEnd w:id="10"/>
      <w:tr w:rsidR="000A2139" w:rsidRPr="00CF4DC2" w14:paraId="61678913" w14:textId="77777777" w:rsidTr="00774A88">
        <w:tc>
          <w:tcPr>
            <w:tcW w:w="4675" w:type="dxa"/>
          </w:tcPr>
          <w:p w14:paraId="2C1ABA80" w14:textId="79F7BE3F" w:rsidR="000A2139" w:rsidRDefault="000A2139" w:rsidP="008466B9">
            <w:pPr>
              <w:contextualSpacing/>
              <w:rPr>
                <w:rFonts w:ascii="Times New Roman" w:hAnsi="Times New Roman" w:cs="Times New Roman"/>
                <w:sz w:val="20"/>
                <w:szCs w:val="20"/>
              </w:rPr>
            </w:pPr>
            <w:r>
              <w:rPr>
                <w:rFonts w:ascii="Times New Roman" w:hAnsi="Times New Roman" w:cs="Times New Roman"/>
                <w:sz w:val="20"/>
                <w:szCs w:val="20"/>
                <w:u w:val="single"/>
              </w:rPr>
              <w:t>New “bona fide insurance company” requirement created for pooling arrangements</w:t>
            </w:r>
            <w:r>
              <w:rPr>
                <w:rFonts w:ascii="Times New Roman" w:hAnsi="Times New Roman" w:cs="Times New Roman"/>
                <w:sz w:val="20"/>
                <w:szCs w:val="20"/>
              </w:rPr>
              <w:t>:</w:t>
            </w:r>
          </w:p>
          <w:p w14:paraId="18717960" w14:textId="3A1B0328" w:rsidR="000A2139" w:rsidRDefault="000A2139" w:rsidP="008466B9">
            <w:pPr>
              <w:contextualSpacing/>
              <w:rPr>
                <w:rFonts w:ascii="Times New Roman" w:hAnsi="Times New Roman" w:cs="Times New Roman"/>
                <w:sz w:val="20"/>
                <w:szCs w:val="20"/>
              </w:rPr>
            </w:pPr>
            <w:r w:rsidRPr="003447AB">
              <w:rPr>
                <w:rFonts w:ascii="Times New Roman" w:hAnsi="Times New Roman" w:cs="Times New Roman"/>
                <w:sz w:val="20"/>
                <w:szCs w:val="20"/>
              </w:rPr>
              <w:t xml:space="preserve">Court </w:t>
            </w:r>
            <w:r>
              <w:rPr>
                <w:rFonts w:ascii="Times New Roman" w:hAnsi="Times New Roman" w:cs="Times New Roman"/>
                <w:sz w:val="20"/>
                <w:szCs w:val="20"/>
              </w:rPr>
              <w:t xml:space="preserve">erroneously </w:t>
            </w:r>
            <w:r w:rsidRPr="00274060">
              <w:rPr>
                <w:rFonts w:ascii="Times New Roman" w:hAnsi="Times New Roman" w:cs="Times New Roman"/>
                <w:sz w:val="20"/>
                <w:szCs w:val="20"/>
              </w:rPr>
              <w:t>applied a new “bona fide insurance company”</w:t>
            </w:r>
            <w:r>
              <w:rPr>
                <w:rFonts w:ascii="Times New Roman" w:hAnsi="Times New Roman" w:cs="Times New Roman"/>
                <w:sz w:val="20"/>
                <w:szCs w:val="20"/>
              </w:rPr>
              <w:t xml:space="preserve"> requirement</w:t>
            </w:r>
            <w:r w:rsidRPr="00274060">
              <w:rPr>
                <w:rFonts w:ascii="Times New Roman" w:hAnsi="Times New Roman" w:cs="Times New Roman"/>
                <w:sz w:val="20"/>
                <w:szCs w:val="20"/>
              </w:rPr>
              <w:t xml:space="preserve"> (</w:t>
            </w:r>
            <w:r>
              <w:rPr>
                <w:rFonts w:ascii="Times New Roman" w:hAnsi="Times New Roman" w:cs="Times New Roman"/>
                <w:sz w:val="20"/>
                <w:szCs w:val="20"/>
              </w:rPr>
              <w:t xml:space="preserve">a </w:t>
            </w:r>
            <w:r w:rsidR="00DE7EE9" w:rsidRPr="00274060">
              <w:rPr>
                <w:rFonts w:ascii="Times New Roman" w:hAnsi="Times New Roman" w:cs="Times New Roman"/>
                <w:sz w:val="20"/>
                <w:szCs w:val="20"/>
              </w:rPr>
              <w:t>9-factor</w:t>
            </w:r>
            <w:r w:rsidRPr="00274060">
              <w:rPr>
                <w:rFonts w:ascii="Times New Roman" w:hAnsi="Times New Roman" w:cs="Times New Roman"/>
                <w:sz w:val="20"/>
                <w:szCs w:val="20"/>
              </w:rPr>
              <w:t xml:space="preserve"> test) to the pooling arrangement to determine whether the captive distributed risk by participating in the pooling arrangement</w:t>
            </w:r>
            <w:r w:rsidRPr="003447AB">
              <w:rPr>
                <w:rFonts w:ascii="Times New Roman" w:hAnsi="Times New Roman" w:cs="Times New Roman"/>
                <w:sz w:val="20"/>
                <w:szCs w:val="20"/>
              </w:rPr>
              <w:t xml:space="preserve">, erroneously citing to </w:t>
            </w:r>
            <w:r w:rsidRPr="003447AB">
              <w:rPr>
                <w:rFonts w:ascii="Times New Roman" w:hAnsi="Times New Roman" w:cs="Times New Roman"/>
                <w:i/>
                <w:sz w:val="20"/>
                <w:szCs w:val="20"/>
              </w:rPr>
              <w:t>Rent-A-Center</w:t>
            </w:r>
            <w:r w:rsidRPr="003447AB">
              <w:rPr>
                <w:rFonts w:ascii="Times New Roman" w:hAnsi="Times New Roman" w:cs="Times New Roman"/>
                <w:sz w:val="20"/>
                <w:szCs w:val="20"/>
                <w:vertAlign w:val="superscript"/>
              </w:rPr>
              <w:endnoteReference w:id="16"/>
            </w:r>
            <w:r>
              <w:rPr>
                <w:rFonts w:ascii="Times New Roman" w:hAnsi="Times New Roman" w:cs="Times New Roman"/>
                <w:sz w:val="20"/>
                <w:szCs w:val="20"/>
              </w:rPr>
              <w:t xml:space="preserve">  which did not involve a pooling.  No case or IRS pronouncement had ever </w:t>
            </w:r>
            <w:r w:rsidRPr="007C3613">
              <w:rPr>
                <w:rFonts w:ascii="Times New Roman" w:hAnsi="Times New Roman" w:cs="Times New Roman"/>
                <w:sz w:val="20"/>
                <w:szCs w:val="20"/>
              </w:rPr>
              <w:t xml:space="preserve">previously </w:t>
            </w:r>
            <w:r w:rsidRPr="00855BF9">
              <w:rPr>
                <w:rFonts w:ascii="Times New Roman" w:hAnsi="Times New Roman" w:cs="Times New Roman"/>
                <w:sz w:val="20"/>
                <w:szCs w:val="20"/>
              </w:rPr>
              <w:t>required a pooling program to be conducted by a “bona fide insurer,” which was simply assumed by the court.</w:t>
            </w:r>
          </w:p>
          <w:p w14:paraId="544A062E" w14:textId="77777777" w:rsidR="000A2139" w:rsidRDefault="000A2139" w:rsidP="008466B9">
            <w:pPr>
              <w:contextualSpacing/>
              <w:rPr>
                <w:rFonts w:ascii="Times New Roman" w:hAnsi="Times New Roman" w:cs="Times New Roman"/>
                <w:sz w:val="20"/>
                <w:szCs w:val="20"/>
              </w:rPr>
            </w:pPr>
          </w:p>
          <w:p w14:paraId="36DBF64B" w14:textId="77777777" w:rsidR="000A2139" w:rsidRDefault="000A2139" w:rsidP="008466B9">
            <w:pPr>
              <w:contextualSpacing/>
              <w:rPr>
                <w:rFonts w:ascii="Times New Roman" w:hAnsi="Times New Roman" w:cs="Times New Roman"/>
                <w:sz w:val="20"/>
                <w:szCs w:val="20"/>
              </w:rPr>
            </w:pPr>
            <w:r>
              <w:rPr>
                <w:rFonts w:ascii="Times New Roman" w:hAnsi="Times New Roman" w:cs="Times New Roman"/>
                <w:sz w:val="20"/>
                <w:szCs w:val="20"/>
              </w:rPr>
              <w:t xml:space="preserve">The </w:t>
            </w:r>
            <w:r w:rsidRPr="008B4174">
              <w:rPr>
                <w:rFonts w:ascii="Times New Roman" w:hAnsi="Times New Roman" w:cs="Times New Roman"/>
                <w:i/>
                <w:sz w:val="20"/>
                <w:szCs w:val="20"/>
              </w:rPr>
              <w:t>Avrahami</w:t>
            </w:r>
            <w:r w:rsidRPr="003447AB">
              <w:rPr>
                <w:rFonts w:ascii="Times New Roman" w:hAnsi="Times New Roman" w:cs="Times New Roman"/>
                <w:sz w:val="20"/>
                <w:szCs w:val="20"/>
              </w:rPr>
              <w:t xml:space="preserve"> court announced this </w:t>
            </w:r>
            <w:r w:rsidRPr="003447AB">
              <w:rPr>
                <w:rFonts w:ascii="Times New Roman" w:hAnsi="Times New Roman" w:cs="Times New Roman"/>
                <w:sz w:val="20"/>
                <w:szCs w:val="20"/>
                <w:u w:val="single"/>
              </w:rPr>
              <w:t xml:space="preserve">new </w:t>
            </w:r>
            <w:r>
              <w:rPr>
                <w:rFonts w:ascii="Times New Roman" w:hAnsi="Times New Roman" w:cs="Times New Roman"/>
                <w:sz w:val="20"/>
                <w:szCs w:val="20"/>
                <w:u w:val="single"/>
              </w:rPr>
              <w:t xml:space="preserve">9-factor test </w:t>
            </w:r>
            <w:r w:rsidRPr="003447AB">
              <w:rPr>
                <w:rFonts w:ascii="Times New Roman" w:hAnsi="Times New Roman" w:cs="Times New Roman"/>
                <w:sz w:val="20"/>
                <w:szCs w:val="20"/>
              </w:rPr>
              <w:t xml:space="preserve">had to be satisfied by the pooling arrangement “before it [could] say whether </w:t>
            </w:r>
            <w:r>
              <w:rPr>
                <w:rFonts w:ascii="Times New Roman" w:hAnsi="Times New Roman" w:cs="Times New Roman"/>
                <w:sz w:val="20"/>
                <w:szCs w:val="20"/>
              </w:rPr>
              <w:t xml:space="preserve">[a pooling participant] </w:t>
            </w:r>
            <w:r w:rsidRPr="003447AB">
              <w:rPr>
                <w:rFonts w:ascii="Times New Roman" w:hAnsi="Times New Roman" w:cs="Times New Roman"/>
                <w:sz w:val="20"/>
                <w:szCs w:val="20"/>
              </w:rPr>
              <w:t xml:space="preserve">distributed risk through the </w:t>
            </w:r>
            <w:r>
              <w:rPr>
                <w:rFonts w:ascii="Times New Roman" w:hAnsi="Times New Roman" w:cs="Times New Roman"/>
                <w:sz w:val="20"/>
                <w:szCs w:val="20"/>
              </w:rPr>
              <w:t xml:space="preserve">[pooling] </w:t>
            </w:r>
            <w:r w:rsidRPr="003447AB">
              <w:rPr>
                <w:rFonts w:ascii="Times New Roman" w:hAnsi="Times New Roman" w:cs="Times New Roman"/>
                <w:sz w:val="20"/>
                <w:szCs w:val="20"/>
              </w:rPr>
              <w:t xml:space="preserve">program.”  This prerequisite </w:t>
            </w:r>
            <w:r w:rsidRPr="003447AB">
              <w:rPr>
                <w:rFonts w:ascii="Times New Roman" w:hAnsi="Times New Roman" w:cs="Times New Roman"/>
                <w:sz w:val="20"/>
                <w:szCs w:val="20"/>
                <w:u w:val="single"/>
              </w:rPr>
              <w:t>had never before been applied to a pooling arrangement</w:t>
            </w:r>
            <w:r w:rsidRPr="003447AB">
              <w:rPr>
                <w:rFonts w:ascii="Times New Roman" w:hAnsi="Times New Roman" w:cs="Times New Roman"/>
                <w:sz w:val="20"/>
                <w:szCs w:val="20"/>
              </w:rPr>
              <w:t>.</w:t>
            </w:r>
          </w:p>
          <w:p w14:paraId="2F845E15" w14:textId="77777777" w:rsidR="000A2139" w:rsidRPr="00D029AE" w:rsidRDefault="000A2139" w:rsidP="00D029AE">
            <w:pPr>
              <w:ind w:left="216"/>
              <w:rPr>
                <w:rFonts w:ascii="Times New Roman" w:hAnsi="Times New Roman" w:cs="Times New Roman"/>
                <w:sz w:val="20"/>
                <w:szCs w:val="20"/>
              </w:rPr>
            </w:pPr>
          </w:p>
          <w:p w14:paraId="041A265F" w14:textId="77777777" w:rsidR="000A2139" w:rsidRPr="003447AB" w:rsidRDefault="000A2139" w:rsidP="005C219F">
            <w:pPr>
              <w:contextualSpacing/>
              <w:rPr>
                <w:rFonts w:ascii="Times New Roman" w:hAnsi="Times New Roman" w:cs="Times New Roman"/>
                <w:sz w:val="20"/>
                <w:szCs w:val="20"/>
              </w:rPr>
            </w:pPr>
            <w:r>
              <w:rPr>
                <w:rFonts w:ascii="Times New Roman" w:hAnsi="Times New Roman" w:cs="Times New Roman"/>
                <w:sz w:val="20"/>
                <w:szCs w:val="20"/>
                <w:u w:val="single"/>
              </w:rPr>
              <w:t xml:space="preserve">Among the </w:t>
            </w:r>
            <w:r w:rsidRPr="003447AB">
              <w:rPr>
                <w:rFonts w:ascii="Times New Roman" w:hAnsi="Times New Roman" w:cs="Times New Roman"/>
                <w:sz w:val="20"/>
                <w:szCs w:val="20"/>
                <w:u w:val="single"/>
              </w:rPr>
              <w:t>“</w:t>
            </w:r>
            <w:r>
              <w:rPr>
                <w:rFonts w:ascii="Times New Roman" w:hAnsi="Times New Roman" w:cs="Times New Roman"/>
                <w:sz w:val="20"/>
                <w:szCs w:val="20"/>
                <w:u w:val="single"/>
              </w:rPr>
              <w:t>b</w:t>
            </w:r>
            <w:r w:rsidRPr="003447AB">
              <w:rPr>
                <w:rFonts w:ascii="Times New Roman" w:hAnsi="Times New Roman" w:cs="Times New Roman"/>
                <w:sz w:val="20"/>
                <w:szCs w:val="20"/>
                <w:u w:val="single"/>
              </w:rPr>
              <w:t>ona fide insurance company” factors discussed</w:t>
            </w:r>
            <w:r>
              <w:rPr>
                <w:rFonts w:ascii="Times New Roman" w:hAnsi="Times New Roman" w:cs="Times New Roman"/>
                <w:sz w:val="20"/>
                <w:szCs w:val="20"/>
                <w:u w:val="single"/>
              </w:rPr>
              <w:t xml:space="preserve"> were:</w:t>
            </w:r>
          </w:p>
          <w:p w14:paraId="7A3EBCB6" w14:textId="77777777" w:rsidR="000A2139" w:rsidRDefault="000A2139" w:rsidP="009513E9">
            <w:pPr>
              <w:contextualSpacing/>
              <w:rPr>
                <w:rFonts w:ascii="Times New Roman" w:hAnsi="Times New Roman" w:cs="Times New Roman"/>
                <w:sz w:val="20"/>
                <w:szCs w:val="20"/>
              </w:rPr>
            </w:pPr>
          </w:p>
          <w:p w14:paraId="53DA86C8" w14:textId="77777777" w:rsidR="000A2139" w:rsidRPr="003447AB" w:rsidRDefault="000A2139" w:rsidP="009513E9">
            <w:pPr>
              <w:contextualSpacing/>
              <w:rPr>
                <w:rFonts w:ascii="Times New Roman" w:hAnsi="Times New Roman" w:cs="Times New Roman"/>
                <w:sz w:val="20"/>
                <w:szCs w:val="20"/>
              </w:rPr>
            </w:pPr>
            <w:r>
              <w:rPr>
                <w:rFonts w:ascii="Times New Roman" w:hAnsi="Times New Roman" w:cs="Times New Roman"/>
                <w:sz w:val="20"/>
                <w:szCs w:val="20"/>
              </w:rPr>
              <w:t xml:space="preserve">1.  </w:t>
            </w:r>
            <w:r w:rsidRPr="003447AB">
              <w:rPr>
                <w:rFonts w:ascii="Times New Roman" w:hAnsi="Times New Roman" w:cs="Times New Roman"/>
                <w:sz w:val="20"/>
                <w:szCs w:val="20"/>
              </w:rPr>
              <w:t>Circular flow of funds</w:t>
            </w:r>
          </w:p>
          <w:p w14:paraId="01717975" w14:textId="77777777" w:rsidR="000A2139" w:rsidRPr="00413EAE" w:rsidRDefault="000A2139">
            <w:pPr>
              <w:pStyle w:val="ListParagraph"/>
              <w:numPr>
                <w:ilvl w:val="0"/>
                <w:numId w:val="9"/>
              </w:numPr>
              <w:rPr>
                <w:rFonts w:ascii="Times New Roman" w:hAnsi="Times New Roman" w:cs="Times New Roman"/>
                <w:sz w:val="20"/>
                <w:szCs w:val="20"/>
              </w:rPr>
            </w:pPr>
            <w:r w:rsidRPr="00413EAE">
              <w:rPr>
                <w:rFonts w:ascii="Times New Roman" w:hAnsi="Times New Roman" w:cs="Times New Roman"/>
                <w:sz w:val="20"/>
                <w:szCs w:val="20"/>
              </w:rPr>
              <w:t>Court found this factor present since the “end result” was that the insured paid same amounts to Pan American as Pan American paid to Feedback in reinsurance premiums. “</w:t>
            </w:r>
            <w:r w:rsidRPr="00413EAE">
              <w:rPr>
                <w:rFonts w:ascii="Times New Roman" w:hAnsi="Times New Roman" w:cs="Times New Roman"/>
                <w:i/>
                <w:sz w:val="20"/>
                <w:szCs w:val="20"/>
              </w:rPr>
              <w:t>While not quite a complete loop, this arrangement looks suspiciously like a circular flow of funds</w:t>
            </w:r>
            <w:r w:rsidRPr="00413EAE">
              <w:rPr>
                <w:rFonts w:ascii="Times New Roman" w:hAnsi="Times New Roman" w:cs="Times New Roman"/>
                <w:sz w:val="20"/>
                <w:szCs w:val="20"/>
              </w:rPr>
              <w:t xml:space="preserve">.”  </w:t>
            </w:r>
          </w:p>
          <w:p w14:paraId="794D25F6" w14:textId="77777777" w:rsidR="000A2139" w:rsidRDefault="000A2139" w:rsidP="008B4174">
            <w:pPr>
              <w:rPr>
                <w:rFonts w:ascii="Times New Roman" w:hAnsi="Times New Roman" w:cs="Times New Roman"/>
                <w:sz w:val="20"/>
                <w:szCs w:val="20"/>
              </w:rPr>
            </w:pPr>
          </w:p>
          <w:p w14:paraId="1FB651DF" w14:textId="77777777" w:rsidR="000A2139" w:rsidRDefault="000A2139" w:rsidP="008B4174">
            <w:pPr>
              <w:rPr>
                <w:rFonts w:ascii="Times New Roman" w:hAnsi="Times New Roman" w:cs="Times New Roman"/>
                <w:sz w:val="20"/>
                <w:szCs w:val="20"/>
              </w:rPr>
            </w:pPr>
          </w:p>
          <w:p w14:paraId="306F8EA3" w14:textId="77777777" w:rsidR="000A2139" w:rsidRDefault="000A2139" w:rsidP="007B4B86">
            <w:pPr>
              <w:rPr>
                <w:rFonts w:ascii="Times New Roman" w:hAnsi="Times New Roman" w:cs="Times New Roman"/>
                <w:sz w:val="20"/>
                <w:szCs w:val="20"/>
              </w:rPr>
            </w:pPr>
          </w:p>
          <w:p w14:paraId="42BFC6A7" w14:textId="77777777" w:rsidR="000A2139" w:rsidRDefault="000A2139" w:rsidP="007B4B86">
            <w:pPr>
              <w:rPr>
                <w:rFonts w:ascii="Times New Roman" w:hAnsi="Times New Roman" w:cs="Times New Roman"/>
                <w:sz w:val="20"/>
                <w:szCs w:val="20"/>
              </w:rPr>
            </w:pPr>
          </w:p>
          <w:p w14:paraId="5234BA6D" w14:textId="77777777" w:rsidR="000A2139" w:rsidRDefault="000A2139" w:rsidP="007B4B86">
            <w:pPr>
              <w:rPr>
                <w:rFonts w:ascii="Times New Roman" w:hAnsi="Times New Roman" w:cs="Times New Roman"/>
                <w:sz w:val="20"/>
                <w:szCs w:val="20"/>
              </w:rPr>
            </w:pPr>
          </w:p>
          <w:p w14:paraId="4BE0C58F" w14:textId="77777777" w:rsidR="000A2139" w:rsidRDefault="000A2139" w:rsidP="007B4B86">
            <w:pPr>
              <w:rPr>
                <w:rFonts w:ascii="Times New Roman" w:hAnsi="Times New Roman" w:cs="Times New Roman"/>
                <w:sz w:val="20"/>
                <w:szCs w:val="20"/>
              </w:rPr>
            </w:pPr>
          </w:p>
          <w:p w14:paraId="0907D040" w14:textId="77777777" w:rsidR="000A2139" w:rsidRDefault="000A2139" w:rsidP="007B4B86">
            <w:pPr>
              <w:rPr>
                <w:rFonts w:ascii="Times New Roman" w:hAnsi="Times New Roman" w:cs="Times New Roman"/>
                <w:sz w:val="20"/>
                <w:szCs w:val="20"/>
              </w:rPr>
            </w:pPr>
          </w:p>
          <w:p w14:paraId="0BCCDDCD" w14:textId="77777777" w:rsidR="000A2139" w:rsidRDefault="000A2139" w:rsidP="007B4B86">
            <w:pPr>
              <w:rPr>
                <w:rFonts w:ascii="Times New Roman" w:hAnsi="Times New Roman" w:cs="Times New Roman"/>
                <w:sz w:val="20"/>
                <w:szCs w:val="20"/>
              </w:rPr>
            </w:pPr>
          </w:p>
          <w:p w14:paraId="4D65BDF0" w14:textId="77777777" w:rsidR="000A2139" w:rsidRDefault="000A2139" w:rsidP="007B4B86">
            <w:pPr>
              <w:rPr>
                <w:rFonts w:ascii="Times New Roman" w:hAnsi="Times New Roman" w:cs="Times New Roman"/>
                <w:sz w:val="20"/>
                <w:szCs w:val="20"/>
              </w:rPr>
            </w:pPr>
          </w:p>
          <w:p w14:paraId="5334906E" w14:textId="77777777" w:rsidR="000A2139" w:rsidRDefault="000A2139" w:rsidP="007B4B86">
            <w:pPr>
              <w:rPr>
                <w:rFonts w:ascii="Times New Roman" w:hAnsi="Times New Roman" w:cs="Times New Roman"/>
                <w:sz w:val="20"/>
                <w:szCs w:val="20"/>
              </w:rPr>
            </w:pPr>
          </w:p>
          <w:p w14:paraId="2295A98C" w14:textId="77777777" w:rsidR="000A2139" w:rsidRDefault="000A2139" w:rsidP="007B4B86">
            <w:pPr>
              <w:rPr>
                <w:rFonts w:ascii="Times New Roman" w:hAnsi="Times New Roman" w:cs="Times New Roman"/>
                <w:sz w:val="20"/>
                <w:szCs w:val="20"/>
              </w:rPr>
            </w:pPr>
          </w:p>
          <w:p w14:paraId="629634AD" w14:textId="77777777" w:rsidR="000A2139" w:rsidRDefault="000A2139" w:rsidP="007B4B86">
            <w:pPr>
              <w:rPr>
                <w:rFonts w:ascii="Times New Roman" w:hAnsi="Times New Roman" w:cs="Times New Roman"/>
                <w:sz w:val="20"/>
                <w:szCs w:val="20"/>
              </w:rPr>
            </w:pPr>
          </w:p>
          <w:p w14:paraId="376FC25D" w14:textId="77777777" w:rsidR="000A2139" w:rsidRDefault="000A2139" w:rsidP="007B4B86">
            <w:pPr>
              <w:rPr>
                <w:rFonts w:ascii="Times New Roman" w:hAnsi="Times New Roman" w:cs="Times New Roman"/>
                <w:sz w:val="20"/>
                <w:szCs w:val="20"/>
              </w:rPr>
            </w:pPr>
          </w:p>
          <w:p w14:paraId="55804ABE" w14:textId="77777777" w:rsidR="000A2139" w:rsidRDefault="000A2139" w:rsidP="007B4B86">
            <w:pPr>
              <w:rPr>
                <w:rFonts w:ascii="Times New Roman" w:hAnsi="Times New Roman" w:cs="Times New Roman"/>
                <w:sz w:val="20"/>
                <w:szCs w:val="20"/>
              </w:rPr>
            </w:pPr>
          </w:p>
          <w:p w14:paraId="35C03683" w14:textId="77777777" w:rsidR="000A2139" w:rsidRDefault="000A2139" w:rsidP="007B4B86">
            <w:pPr>
              <w:rPr>
                <w:rFonts w:ascii="Times New Roman" w:hAnsi="Times New Roman" w:cs="Times New Roman"/>
                <w:sz w:val="20"/>
                <w:szCs w:val="20"/>
              </w:rPr>
            </w:pPr>
          </w:p>
          <w:p w14:paraId="29F8111D" w14:textId="77777777" w:rsidR="000A2139" w:rsidRDefault="000A2139" w:rsidP="007B4B86">
            <w:pPr>
              <w:rPr>
                <w:rFonts w:ascii="Times New Roman" w:hAnsi="Times New Roman" w:cs="Times New Roman"/>
                <w:sz w:val="20"/>
                <w:szCs w:val="20"/>
              </w:rPr>
            </w:pPr>
          </w:p>
          <w:p w14:paraId="2CB550FD" w14:textId="77777777" w:rsidR="000A2139" w:rsidRDefault="000A2139" w:rsidP="007B4B86">
            <w:pPr>
              <w:rPr>
                <w:rFonts w:ascii="Times New Roman" w:hAnsi="Times New Roman" w:cs="Times New Roman"/>
                <w:sz w:val="20"/>
                <w:szCs w:val="20"/>
              </w:rPr>
            </w:pPr>
          </w:p>
          <w:p w14:paraId="42F0D061" w14:textId="77777777" w:rsidR="000A2139" w:rsidRDefault="000A2139" w:rsidP="007B4B86">
            <w:pPr>
              <w:rPr>
                <w:rFonts w:ascii="Times New Roman" w:hAnsi="Times New Roman" w:cs="Times New Roman"/>
                <w:sz w:val="20"/>
                <w:szCs w:val="20"/>
              </w:rPr>
            </w:pPr>
          </w:p>
          <w:p w14:paraId="2B76E43E" w14:textId="77777777" w:rsidR="000A2139" w:rsidRDefault="000A2139" w:rsidP="007B4B86">
            <w:pPr>
              <w:rPr>
                <w:rFonts w:ascii="Times New Roman" w:hAnsi="Times New Roman" w:cs="Times New Roman"/>
                <w:sz w:val="20"/>
                <w:szCs w:val="20"/>
              </w:rPr>
            </w:pPr>
          </w:p>
          <w:p w14:paraId="0B1EF18C" w14:textId="77777777" w:rsidR="000A2139" w:rsidRDefault="000A2139" w:rsidP="007B4B86">
            <w:pPr>
              <w:rPr>
                <w:rFonts w:ascii="Times New Roman" w:hAnsi="Times New Roman" w:cs="Times New Roman"/>
                <w:sz w:val="20"/>
                <w:szCs w:val="20"/>
              </w:rPr>
            </w:pPr>
          </w:p>
          <w:p w14:paraId="3D25453A" w14:textId="77777777" w:rsidR="000A2139" w:rsidRDefault="000A2139" w:rsidP="007B4B86">
            <w:pPr>
              <w:rPr>
                <w:rFonts w:ascii="Times New Roman" w:hAnsi="Times New Roman" w:cs="Times New Roman"/>
                <w:sz w:val="20"/>
                <w:szCs w:val="20"/>
              </w:rPr>
            </w:pPr>
          </w:p>
          <w:p w14:paraId="59DD92D7" w14:textId="77777777" w:rsidR="000A2139" w:rsidRDefault="000A2139" w:rsidP="007B4B86">
            <w:pPr>
              <w:rPr>
                <w:rFonts w:ascii="Times New Roman" w:hAnsi="Times New Roman" w:cs="Times New Roman"/>
                <w:sz w:val="20"/>
                <w:szCs w:val="20"/>
              </w:rPr>
            </w:pPr>
          </w:p>
          <w:p w14:paraId="24573AF8" w14:textId="77777777" w:rsidR="000A2139" w:rsidRDefault="000A2139" w:rsidP="007B4B86">
            <w:pPr>
              <w:rPr>
                <w:rFonts w:ascii="Times New Roman" w:hAnsi="Times New Roman" w:cs="Times New Roman"/>
                <w:sz w:val="20"/>
                <w:szCs w:val="20"/>
              </w:rPr>
            </w:pPr>
          </w:p>
          <w:p w14:paraId="417DEF0C" w14:textId="77777777" w:rsidR="000A2139" w:rsidRDefault="000A2139" w:rsidP="007B4B86">
            <w:pPr>
              <w:rPr>
                <w:rFonts w:ascii="Times New Roman" w:hAnsi="Times New Roman" w:cs="Times New Roman"/>
                <w:sz w:val="20"/>
                <w:szCs w:val="20"/>
              </w:rPr>
            </w:pPr>
          </w:p>
          <w:p w14:paraId="1748669E" w14:textId="77777777" w:rsidR="000A2139" w:rsidRDefault="000A2139" w:rsidP="007B4B86">
            <w:pPr>
              <w:rPr>
                <w:rFonts w:ascii="Times New Roman" w:hAnsi="Times New Roman" w:cs="Times New Roman"/>
                <w:sz w:val="20"/>
                <w:szCs w:val="20"/>
              </w:rPr>
            </w:pPr>
          </w:p>
          <w:p w14:paraId="4F958B45" w14:textId="77777777" w:rsidR="000A2139" w:rsidRDefault="000A2139" w:rsidP="007B4B86">
            <w:pPr>
              <w:rPr>
                <w:rFonts w:ascii="Times New Roman" w:hAnsi="Times New Roman" w:cs="Times New Roman"/>
                <w:sz w:val="20"/>
                <w:szCs w:val="20"/>
              </w:rPr>
            </w:pPr>
          </w:p>
          <w:p w14:paraId="370CC809" w14:textId="77777777" w:rsidR="000A2139" w:rsidRDefault="000A2139" w:rsidP="007B4B86">
            <w:pPr>
              <w:rPr>
                <w:rFonts w:ascii="Times New Roman" w:hAnsi="Times New Roman" w:cs="Times New Roman"/>
                <w:sz w:val="20"/>
                <w:szCs w:val="20"/>
              </w:rPr>
            </w:pPr>
          </w:p>
          <w:p w14:paraId="0062BF50" w14:textId="21C5C7B7" w:rsidR="000A2139" w:rsidRDefault="000A2139" w:rsidP="00055F9A">
            <w:pPr>
              <w:rPr>
                <w:rFonts w:ascii="Times New Roman" w:hAnsi="Times New Roman" w:cs="Times New Roman"/>
                <w:sz w:val="20"/>
                <w:szCs w:val="20"/>
              </w:rPr>
            </w:pPr>
          </w:p>
          <w:p w14:paraId="3B8B75BF" w14:textId="77777777" w:rsidR="00D27493" w:rsidRDefault="00D27493" w:rsidP="00055F9A">
            <w:pPr>
              <w:rPr>
                <w:rFonts w:ascii="Times New Roman" w:hAnsi="Times New Roman" w:cs="Times New Roman"/>
                <w:sz w:val="20"/>
                <w:szCs w:val="20"/>
              </w:rPr>
            </w:pPr>
          </w:p>
          <w:p w14:paraId="675222D2" w14:textId="228DA3DF" w:rsidR="000A2139" w:rsidRDefault="000A2139" w:rsidP="00055F9A">
            <w:pPr>
              <w:rPr>
                <w:rFonts w:ascii="Times New Roman" w:hAnsi="Times New Roman" w:cs="Times New Roman"/>
                <w:sz w:val="20"/>
                <w:szCs w:val="20"/>
              </w:rPr>
            </w:pPr>
          </w:p>
          <w:p w14:paraId="550ECC6C" w14:textId="77777777" w:rsidR="000A2139" w:rsidRDefault="000A2139" w:rsidP="00055F9A">
            <w:pPr>
              <w:rPr>
                <w:rFonts w:ascii="Times New Roman" w:hAnsi="Times New Roman" w:cs="Times New Roman"/>
                <w:sz w:val="20"/>
                <w:szCs w:val="20"/>
              </w:rPr>
            </w:pPr>
          </w:p>
          <w:p w14:paraId="33C5364F" w14:textId="77777777" w:rsidR="000A2139" w:rsidRPr="003447AB" w:rsidRDefault="000A2139" w:rsidP="00055F9A">
            <w:pPr>
              <w:contextualSpacing/>
              <w:rPr>
                <w:rFonts w:ascii="Times New Roman" w:hAnsi="Times New Roman" w:cs="Times New Roman"/>
                <w:sz w:val="20"/>
                <w:szCs w:val="20"/>
              </w:rPr>
            </w:pPr>
            <w:r>
              <w:rPr>
                <w:rFonts w:ascii="Times New Roman" w:hAnsi="Times New Roman" w:cs="Times New Roman"/>
                <w:sz w:val="20"/>
                <w:szCs w:val="20"/>
              </w:rPr>
              <w:t>2.  Lack of a</w:t>
            </w:r>
            <w:r w:rsidRPr="003447AB">
              <w:rPr>
                <w:rFonts w:ascii="Times New Roman" w:hAnsi="Times New Roman" w:cs="Times New Roman"/>
                <w:sz w:val="20"/>
                <w:szCs w:val="20"/>
              </w:rPr>
              <w:t>rm’s-length contracts</w:t>
            </w:r>
          </w:p>
          <w:p w14:paraId="2FC13DD5" w14:textId="77777777" w:rsidR="000A2139" w:rsidRDefault="000A2139" w:rsidP="00C82490">
            <w:pPr>
              <w:pStyle w:val="ListParagraph"/>
              <w:numPr>
                <w:ilvl w:val="0"/>
                <w:numId w:val="11"/>
              </w:numPr>
              <w:rPr>
                <w:rFonts w:ascii="Times New Roman" w:hAnsi="Times New Roman" w:cs="Times New Roman"/>
                <w:sz w:val="20"/>
                <w:szCs w:val="20"/>
              </w:rPr>
            </w:pPr>
            <w:r w:rsidRPr="003447AB">
              <w:rPr>
                <w:rFonts w:ascii="Times New Roman" w:hAnsi="Times New Roman" w:cs="Times New Roman"/>
                <w:sz w:val="20"/>
                <w:szCs w:val="20"/>
              </w:rPr>
              <w:t xml:space="preserve">Court found this factor </w:t>
            </w:r>
            <w:r>
              <w:rPr>
                <w:rFonts w:ascii="Times New Roman" w:hAnsi="Times New Roman" w:cs="Times New Roman"/>
                <w:sz w:val="20"/>
                <w:szCs w:val="20"/>
              </w:rPr>
              <w:t xml:space="preserve">absent </w:t>
            </w:r>
            <w:r w:rsidRPr="003447AB">
              <w:rPr>
                <w:rFonts w:ascii="Times New Roman" w:hAnsi="Times New Roman" w:cs="Times New Roman"/>
                <w:sz w:val="20"/>
                <w:szCs w:val="20"/>
              </w:rPr>
              <w:t xml:space="preserve">since “If a covered claim came in, Pan American would have to go to each of the participating reinsurers to get the necessary cash; and if a reinsurer wouldn’t or couldn’t pay, Pan American would have to foot the bill itself.”  </w:t>
            </w:r>
            <w:r w:rsidRPr="003447AB">
              <w:rPr>
                <w:rFonts w:ascii="Times New Roman" w:hAnsi="Times New Roman" w:cs="Times New Roman"/>
                <w:b/>
                <w:sz w:val="20"/>
                <w:szCs w:val="20"/>
              </w:rPr>
              <w:t xml:space="preserve">The court’s analysis of this factor was </w:t>
            </w:r>
            <w:r>
              <w:rPr>
                <w:rFonts w:ascii="Times New Roman" w:hAnsi="Times New Roman" w:cs="Times New Roman"/>
                <w:b/>
                <w:sz w:val="20"/>
                <w:szCs w:val="20"/>
              </w:rPr>
              <w:t>driven by</w:t>
            </w:r>
            <w:r w:rsidRPr="003447AB">
              <w:rPr>
                <w:rFonts w:ascii="Times New Roman" w:hAnsi="Times New Roman" w:cs="Times New Roman"/>
                <w:b/>
                <w:sz w:val="20"/>
                <w:szCs w:val="20"/>
              </w:rPr>
              <w:t xml:space="preserve"> Pan American </w:t>
            </w:r>
            <w:r>
              <w:rPr>
                <w:rFonts w:ascii="Times New Roman" w:hAnsi="Times New Roman" w:cs="Times New Roman"/>
                <w:b/>
                <w:sz w:val="20"/>
                <w:szCs w:val="20"/>
              </w:rPr>
              <w:t>being</w:t>
            </w:r>
            <w:r w:rsidRPr="003447AB">
              <w:rPr>
                <w:rFonts w:ascii="Times New Roman" w:hAnsi="Times New Roman" w:cs="Times New Roman"/>
                <w:b/>
                <w:sz w:val="20"/>
                <w:szCs w:val="20"/>
              </w:rPr>
              <w:t xml:space="preserve"> thinly capitalized</w:t>
            </w:r>
            <w:r>
              <w:rPr>
                <w:rFonts w:ascii="Times New Roman" w:hAnsi="Times New Roman" w:cs="Times New Roman"/>
                <w:b/>
                <w:sz w:val="20"/>
                <w:szCs w:val="20"/>
              </w:rPr>
              <w:t xml:space="preserve"> and thus unable to pay claims</w:t>
            </w:r>
            <w:r w:rsidRPr="003447AB">
              <w:rPr>
                <w:rFonts w:ascii="Times New Roman" w:hAnsi="Times New Roman" w:cs="Times New Roman"/>
                <w:sz w:val="20"/>
                <w:szCs w:val="20"/>
              </w:rPr>
              <w:t>.</w:t>
            </w:r>
          </w:p>
          <w:p w14:paraId="236DD2A5" w14:textId="77777777" w:rsidR="000A2139" w:rsidRDefault="000A2139" w:rsidP="00955131">
            <w:pPr>
              <w:rPr>
                <w:rFonts w:ascii="Times New Roman" w:hAnsi="Times New Roman" w:cs="Times New Roman"/>
                <w:sz w:val="20"/>
                <w:szCs w:val="20"/>
              </w:rPr>
            </w:pPr>
          </w:p>
          <w:p w14:paraId="4736DB9B" w14:textId="77777777" w:rsidR="000A2139" w:rsidRPr="00AA0B35" w:rsidRDefault="000A2139" w:rsidP="00955131">
            <w:pPr>
              <w:rPr>
                <w:rFonts w:ascii="Times New Roman" w:hAnsi="Times New Roman" w:cs="Times New Roman"/>
                <w:sz w:val="20"/>
                <w:szCs w:val="20"/>
              </w:rPr>
            </w:pPr>
          </w:p>
          <w:p w14:paraId="1E93B715" w14:textId="77777777" w:rsidR="000A2139" w:rsidRDefault="000A2139" w:rsidP="00634C58">
            <w:pPr>
              <w:contextualSpacing/>
              <w:rPr>
                <w:rFonts w:ascii="Times New Roman" w:hAnsi="Times New Roman" w:cs="Times New Roman"/>
                <w:sz w:val="20"/>
                <w:szCs w:val="20"/>
              </w:rPr>
            </w:pPr>
          </w:p>
          <w:p w14:paraId="23E35814" w14:textId="77777777" w:rsidR="000A2139" w:rsidRDefault="000A2139" w:rsidP="00634C58">
            <w:pPr>
              <w:contextualSpacing/>
              <w:rPr>
                <w:rFonts w:ascii="Times New Roman" w:hAnsi="Times New Roman" w:cs="Times New Roman"/>
                <w:sz w:val="20"/>
                <w:szCs w:val="20"/>
              </w:rPr>
            </w:pPr>
          </w:p>
          <w:p w14:paraId="63B6BAA0" w14:textId="77777777" w:rsidR="000A2139" w:rsidRDefault="000A2139" w:rsidP="00634C58">
            <w:pPr>
              <w:contextualSpacing/>
              <w:rPr>
                <w:rFonts w:ascii="Times New Roman" w:hAnsi="Times New Roman" w:cs="Times New Roman"/>
                <w:sz w:val="20"/>
                <w:szCs w:val="20"/>
              </w:rPr>
            </w:pPr>
          </w:p>
          <w:p w14:paraId="74227146" w14:textId="77777777" w:rsidR="000A2139" w:rsidRDefault="000A2139" w:rsidP="00634C58">
            <w:pPr>
              <w:contextualSpacing/>
              <w:rPr>
                <w:rFonts w:ascii="Times New Roman" w:hAnsi="Times New Roman" w:cs="Times New Roman"/>
                <w:sz w:val="20"/>
                <w:szCs w:val="20"/>
              </w:rPr>
            </w:pPr>
          </w:p>
          <w:p w14:paraId="686092DF" w14:textId="77777777" w:rsidR="000A2139" w:rsidRDefault="000A2139" w:rsidP="00634C58">
            <w:pPr>
              <w:contextualSpacing/>
              <w:rPr>
                <w:rFonts w:ascii="Times New Roman" w:hAnsi="Times New Roman" w:cs="Times New Roman"/>
                <w:sz w:val="20"/>
                <w:szCs w:val="20"/>
              </w:rPr>
            </w:pPr>
          </w:p>
          <w:p w14:paraId="5BEF6C5F" w14:textId="77777777" w:rsidR="000A2139" w:rsidRDefault="000A2139" w:rsidP="00634C58">
            <w:pPr>
              <w:contextualSpacing/>
              <w:rPr>
                <w:rFonts w:ascii="Times New Roman" w:hAnsi="Times New Roman" w:cs="Times New Roman"/>
                <w:sz w:val="20"/>
                <w:szCs w:val="20"/>
              </w:rPr>
            </w:pPr>
          </w:p>
          <w:p w14:paraId="609585BF" w14:textId="77777777" w:rsidR="000A2139" w:rsidRDefault="000A2139" w:rsidP="00634C58">
            <w:pPr>
              <w:contextualSpacing/>
              <w:rPr>
                <w:rFonts w:ascii="Times New Roman" w:hAnsi="Times New Roman" w:cs="Times New Roman"/>
                <w:sz w:val="20"/>
                <w:szCs w:val="20"/>
              </w:rPr>
            </w:pPr>
          </w:p>
          <w:p w14:paraId="6338DC0F" w14:textId="11518EAA" w:rsidR="000A2139" w:rsidRDefault="000A2139" w:rsidP="00634C58">
            <w:pPr>
              <w:contextualSpacing/>
              <w:rPr>
                <w:rFonts w:ascii="Times New Roman" w:hAnsi="Times New Roman" w:cs="Times New Roman"/>
                <w:sz w:val="20"/>
                <w:szCs w:val="20"/>
              </w:rPr>
            </w:pPr>
          </w:p>
          <w:p w14:paraId="00DABAFF" w14:textId="77777777" w:rsidR="00A45F41" w:rsidRDefault="00A45F41" w:rsidP="00634C58">
            <w:pPr>
              <w:contextualSpacing/>
              <w:rPr>
                <w:rFonts w:ascii="Times New Roman" w:hAnsi="Times New Roman" w:cs="Times New Roman"/>
                <w:sz w:val="20"/>
                <w:szCs w:val="20"/>
              </w:rPr>
            </w:pPr>
          </w:p>
          <w:p w14:paraId="175F116E" w14:textId="77777777" w:rsidR="000A2139" w:rsidRPr="003447AB" w:rsidRDefault="000A2139" w:rsidP="00634C58">
            <w:pPr>
              <w:contextualSpacing/>
              <w:rPr>
                <w:rFonts w:ascii="Times New Roman" w:hAnsi="Times New Roman" w:cs="Times New Roman"/>
                <w:sz w:val="20"/>
                <w:szCs w:val="20"/>
              </w:rPr>
            </w:pPr>
            <w:r>
              <w:rPr>
                <w:rFonts w:ascii="Times New Roman" w:hAnsi="Times New Roman" w:cs="Times New Roman"/>
                <w:sz w:val="20"/>
                <w:szCs w:val="20"/>
              </w:rPr>
              <w:t xml:space="preserve">3.  </w:t>
            </w:r>
            <w:r w:rsidRPr="003447AB">
              <w:rPr>
                <w:rFonts w:ascii="Times New Roman" w:hAnsi="Times New Roman" w:cs="Times New Roman"/>
                <w:sz w:val="20"/>
                <w:szCs w:val="20"/>
              </w:rPr>
              <w:t>Unreasonable premiums</w:t>
            </w:r>
          </w:p>
          <w:p w14:paraId="352C649B" w14:textId="77777777" w:rsidR="000A2139" w:rsidRDefault="000A2139" w:rsidP="00C82490">
            <w:pPr>
              <w:pStyle w:val="ListParagraph"/>
              <w:numPr>
                <w:ilvl w:val="0"/>
                <w:numId w:val="16"/>
              </w:numPr>
              <w:rPr>
                <w:rFonts w:ascii="Times New Roman" w:hAnsi="Times New Roman" w:cs="Times New Roman"/>
                <w:sz w:val="20"/>
                <w:szCs w:val="20"/>
              </w:rPr>
            </w:pPr>
            <w:r w:rsidRPr="003447AB">
              <w:rPr>
                <w:rFonts w:ascii="Times New Roman" w:hAnsi="Times New Roman" w:cs="Times New Roman"/>
                <w:sz w:val="20"/>
                <w:szCs w:val="20"/>
              </w:rPr>
              <w:t>Court found this factor present since the actuary pricing Pan American’s terrorism policies “recommended a one-size-fits-all rate for each [participating captive]” and “charged the same rate to all of its participants regardless of their geographic location” and regardless of whether the terrorism policy “was written as an excess-coverage policy.”</w:t>
            </w:r>
          </w:p>
          <w:p w14:paraId="031C5844" w14:textId="77777777" w:rsidR="000A2139" w:rsidRDefault="000A2139" w:rsidP="005C46A5">
            <w:pPr>
              <w:pStyle w:val="ListParagraph"/>
              <w:ind w:left="432"/>
              <w:rPr>
                <w:rFonts w:ascii="Times New Roman" w:hAnsi="Times New Roman" w:cs="Times New Roman"/>
                <w:sz w:val="20"/>
                <w:szCs w:val="20"/>
              </w:rPr>
            </w:pPr>
          </w:p>
          <w:p w14:paraId="7172E6E4" w14:textId="77777777" w:rsidR="000A2139" w:rsidRDefault="000A2139" w:rsidP="00C113CB">
            <w:pPr>
              <w:contextualSpacing/>
              <w:rPr>
                <w:rFonts w:ascii="Times New Roman" w:hAnsi="Times New Roman" w:cs="Times New Roman"/>
                <w:sz w:val="20"/>
                <w:szCs w:val="20"/>
              </w:rPr>
            </w:pPr>
          </w:p>
          <w:p w14:paraId="6010AFE4" w14:textId="77777777" w:rsidR="000A2139" w:rsidRDefault="000A2139" w:rsidP="00C113CB">
            <w:pPr>
              <w:contextualSpacing/>
              <w:rPr>
                <w:rFonts w:ascii="Times New Roman" w:hAnsi="Times New Roman" w:cs="Times New Roman"/>
                <w:sz w:val="20"/>
                <w:szCs w:val="20"/>
              </w:rPr>
            </w:pPr>
          </w:p>
          <w:p w14:paraId="7B38A05B" w14:textId="77777777" w:rsidR="000A2139" w:rsidRDefault="000A2139" w:rsidP="00C113CB">
            <w:pPr>
              <w:contextualSpacing/>
              <w:rPr>
                <w:rFonts w:ascii="Times New Roman" w:hAnsi="Times New Roman" w:cs="Times New Roman"/>
                <w:sz w:val="20"/>
                <w:szCs w:val="20"/>
              </w:rPr>
            </w:pPr>
          </w:p>
          <w:p w14:paraId="466CBDCB" w14:textId="77777777" w:rsidR="000A2139" w:rsidRDefault="000A2139" w:rsidP="00C113CB">
            <w:pPr>
              <w:contextualSpacing/>
              <w:rPr>
                <w:rFonts w:ascii="Times New Roman" w:hAnsi="Times New Roman" w:cs="Times New Roman"/>
                <w:sz w:val="20"/>
                <w:szCs w:val="20"/>
              </w:rPr>
            </w:pPr>
          </w:p>
          <w:p w14:paraId="54B9DC9A" w14:textId="77777777" w:rsidR="000A2139" w:rsidRDefault="000A2139" w:rsidP="00C113CB">
            <w:pPr>
              <w:contextualSpacing/>
              <w:rPr>
                <w:rFonts w:ascii="Times New Roman" w:hAnsi="Times New Roman" w:cs="Times New Roman"/>
                <w:sz w:val="20"/>
                <w:szCs w:val="20"/>
              </w:rPr>
            </w:pPr>
          </w:p>
          <w:p w14:paraId="7950E133" w14:textId="77777777" w:rsidR="000A2139" w:rsidRDefault="000A2139" w:rsidP="00C113CB">
            <w:pPr>
              <w:contextualSpacing/>
              <w:rPr>
                <w:rFonts w:ascii="Times New Roman" w:hAnsi="Times New Roman" w:cs="Times New Roman"/>
                <w:sz w:val="20"/>
                <w:szCs w:val="20"/>
              </w:rPr>
            </w:pPr>
          </w:p>
          <w:p w14:paraId="2EDC58E4" w14:textId="77777777" w:rsidR="000A2139" w:rsidRDefault="000A2139" w:rsidP="00C113CB">
            <w:pPr>
              <w:contextualSpacing/>
              <w:rPr>
                <w:rFonts w:ascii="Times New Roman" w:hAnsi="Times New Roman" w:cs="Times New Roman"/>
                <w:sz w:val="20"/>
                <w:szCs w:val="20"/>
              </w:rPr>
            </w:pPr>
          </w:p>
          <w:p w14:paraId="564AE3F1" w14:textId="77777777" w:rsidR="000A2139" w:rsidRDefault="000A2139" w:rsidP="00C113CB">
            <w:pPr>
              <w:contextualSpacing/>
              <w:rPr>
                <w:rFonts w:ascii="Times New Roman" w:hAnsi="Times New Roman" w:cs="Times New Roman"/>
                <w:sz w:val="20"/>
                <w:szCs w:val="20"/>
              </w:rPr>
            </w:pPr>
          </w:p>
          <w:p w14:paraId="12176879" w14:textId="77777777" w:rsidR="000A2139" w:rsidRDefault="000A2139" w:rsidP="00C113CB">
            <w:pPr>
              <w:contextualSpacing/>
              <w:rPr>
                <w:rFonts w:ascii="Times New Roman" w:hAnsi="Times New Roman" w:cs="Times New Roman"/>
                <w:sz w:val="20"/>
                <w:szCs w:val="20"/>
              </w:rPr>
            </w:pPr>
          </w:p>
          <w:p w14:paraId="270FAE38" w14:textId="77777777" w:rsidR="000A2139" w:rsidRDefault="000A2139" w:rsidP="00C113CB">
            <w:pPr>
              <w:contextualSpacing/>
              <w:rPr>
                <w:rFonts w:ascii="Times New Roman" w:hAnsi="Times New Roman" w:cs="Times New Roman"/>
                <w:sz w:val="20"/>
                <w:szCs w:val="20"/>
              </w:rPr>
            </w:pPr>
          </w:p>
          <w:p w14:paraId="1F9B6008" w14:textId="77777777" w:rsidR="000A2139" w:rsidRDefault="000A2139" w:rsidP="00C113CB">
            <w:pPr>
              <w:contextualSpacing/>
              <w:rPr>
                <w:rFonts w:ascii="Times New Roman" w:hAnsi="Times New Roman" w:cs="Times New Roman"/>
                <w:sz w:val="20"/>
                <w:szCs w:val="20"/>
              </w:rPr>
            </w:pPr>
          </w:p>
          <w:p w14:paraId="26BFC389" w14:textId="77777777" w:rsidR="000A2139" w:rsidRDefault="000A2139" w:rsidP="00C113CB">
            <w:pPr>
              <w:contextualSpacing/>
              <w:rPr>
                <w:rFonts w:ascii="Times New Roman" w:hAnsi="Times New Roman" w:cs="Times New Roman"/>
                <w:sz w:val="20"/>
                <w:szCs w:val="20"/>
              </w:rPr>
            </w:pPr>
          </w:p>
          <w:p w14:paraId="25BD3431" w14:textId="77777777" w:rsidR="000A2139" w:rsidRDefault="000A2139" w:rsidP="00C113CB">
            <w:pPr>
              <w:contextualSpacing/>
              <w:rPr>
                <w:rFonts w:ascii="Times New Roman" w:hAnsi="Times New Roman" w:cs="Times New Roman"/>
                <w:sz w:val="20"/>
                <w:szCs w:val="20"/>
              </w:rPr>
            </w:pPr>
          </w:p>
          <w:p w14:paraId="6687F1F9" w14:textId="77777777" w:rsidR="000A2139" w:rsidRDefault="000A2139" w:rsidP="00C113CB">
            <w:pPr>
              <w:contextualSpacing/>
              <w:rPr>
                <w:rFonts w:ascii="Times New Roman" w:hAnsi="Times New Roman" w:cs="Times New Roman"/>
                <w:sz w:val="20"/>
                <w:szCs w:val="20"/>
              </w:rPr>
            </w:pPr>
          </w:p>
          <w:p w14:paraId="085AC3D0" w14:textId="77777777" w:rsidR="000A2139" w:rsidRDefault="000A2139" w:rsidP="00C113CB">
            <w:pPr>
              <w:contextualSpacing/>
              <w:rPr>
                <w:rFonts w:ascii="Times New Roman" w:hAnsi="Times New Roman" w:cs="Times New Roman"/>
                <w:sz w:val="20"/>
                <w:szCs w:val="20"/>
              </w:rPr>
            </w:pPr>
          </w:p>
          <w:p w14:paraId="1D16BAB0" w14:textId="77777777" w:rsidR="000A2139" w:rsidRDefault="000A2139" w:rsidP="00C113CB">
            <w:pPr>
              <w:contextualSpacing/>
              <w:rPr>
                <w:rFonts w:ascii="Times New Roman" w:hAnsi="Times New Roman" w:cs="Times New Roman"/>
                <w:sz w:val="20"/>
                <w:szCs w:val="20"/>
              </w:rPr>
            </w:pPr>
          </w:p>
          <w:p w14:paraId="0C04A74A" w14:textId="77777777" w:rsidR="000A2139" w:rsidRDefault="000A2139" w:rsidP="00C113CB">
            <w:pPr>
              <w:contextualSpacing/>
              <w:rPr>
                <w:rFonts w:ascii="Times New Roman" w:hAnsi="Times New Roman" w:cs="Times New Roman"/>
                <w:sz w:val="20"/>
                <w:szCs w:val="20"/>
              </w:rPr>
            </w:pPr>
          </w:p>
          <w:p w14:paraId="299281F3" w14:textId="77777777" w:rsidR="000A2139" w:rsidRDefault="000A2139" w:rsidP="00C113CB">
            <w:pPr>
              <w:contextualSpacing/>
              <w:rPr>
                <w:rFonts w:ascii="Times New Roman" w:hAnsi="Times New Roman" w:cs="Times New Roman"/>
                <w:sz w:val="20"/>
                <w:szCs w:val="20"/>
              </w:rPr>
            </w:pPr>
          </w:p>
          <w:p w14:paraId="7490065D" w14:textId="77777777" w:rsidR="000A2139" w:rsidRDefault="000A2139" w:rsidP="00C113CB">
            <w:pPr>
              <w:contextualSpacing/>
              <w:rPr>
                <w:rFonts w:ascii="Times New Roman" w:hAnsi="Times New Roman" w:cs="Times New Roman"/>
                <w:sz w:val="20"/>
                <w:szCs w:val="20"/>
              </w:rPr>
            </w:pPr>
          </w:p>
          <w:p w14:paraId="54511BBD" w14:textId="77777777" w:rsidR="000A2139" w:rsidRDefault="000A2139" w:rsidP="00C113CB">
            <w:pPr>
              <w:contextualSpacing/>
              <w:rPr>
                <w:rFonts w:ascii="Times New Roman" w:hAnsi="Times New Roman" w:cs="Times New Roman"/>
                <w:sz w:val="20"/>
                <w:szCs w:val="20"/>
              </w:rPr>
            </w:pPr>
          </w:p>
          <w:p w14:paraId="46A20889" w14:textId="77777777" w:rsidR="000A2139" w:rsidRDefault="000A2139" w:rsidP="00C113CB">
            <w:pPr>
              <w:contextualSpacing/>
              <w:rPr>
                <w:rFonts w:ascii="Times New Roman" w:hAnsi="Times New Roman" w:cs="Times New Roman"/>
                <w:sz w:val="20"/>
                <w:szCs w:val="20"/>
              </w:rPr>
            </w:pPr>
          </w:p>
          <w:p w14:paraId="512E58AB" w14:textId="77777777" w:rsidR="000A2139" w:rsidRPr="000946F6" w:rsidRDefault="000A2139" w:rsidP="000946F6">
            <w:pPr>
              <w:contextualSpacing/>
              <w:rPr>
                <w:rFonts w:ascii="Times New Roman" w:hAnsi="Times New Roman" w:cs="Times New Roman"/>
                <w:sz w:val="20"/>
                <w:szCs w:val="20"/>
              </w:rPr>
            </w:pPr>
          </w:p>
          <w:p w14:paraId="7A0C7D59" w14:textId="77777777" w:rsidR="000A2139" w:rsidRDefault="000A2139" w:rsidP="00A811F5">
            <w:pPr>
              <w:rPr>
                <w:rFonts w:ascii="Times New Roman" w:hAnsi="Times New Roman" w:cs="Times New Roman"/>
                <w:sz w:val="20"/>
                <w:szCs w:val="20"/>
              </w:rPr>
            </w:pPr>
          </w:p>
          <w:p w14:paraId="4C31A862" w14:textId="77777777" w:rsidR="000A2139" w:rsidRDefault="000A2139" w:rsidP="00A811F5">
            <w:pPr>
              <w:rPr>
                <w:rFonts w:ascii="Times New Roman" w:hAnsi="Times New Roman" w:cs="Times New Roman"/>
                <w:sz w:val="20"/>
                <w:szCs w:val="20"/>
              </w:rPr>
            </w:pPr>
          </w:p>
          <w:p w14:paraId="2815848E" w14:textId="77777777" w:rsidR="000A2139" w:rsidRDefault="000A2139" w:rsidP="00A811F5">
            <w:pPr>
              <w:rPr>
                <w:rFonts w:ascii="Times New Roman" w:hAnsi="Times New Roman" w:cs="Times New Roman"/>
                <w:sz w:val="20"/>
                <w:szCs w:val="20"/>
              </w:rPr>
            </w:pPr>
          </w:p>
          <w:p w14:paraId="5C8B03F7" w14:textId="77777777" w:rsidR="000A2139" w:rsidRDefault="000A2139" w:rsidP="00A811F5">
            <w:pPr>
              <w:rPr>
                <w:rFonts w:ascii="Times New Roman" w:hAnsi="Times New Roman" w:cs="Times New Roman"/>
                <w:sz w:val="20"/>
                <w:szCs w:val="20"/>
              </w:rPr>
            </w:pPr>
          </w:p>
          <w:p w14:paraId="5C240667" w14:textId="77777777" w:rsidR="000A2139" w:rsidRDefault="000A2139" w:rsidP="004E3A41">
            <w:pPr>
              <w:contextualSpacing/>
              <w:rPr>
                <w:rFonts w:ascii="Times New Roman" w:hAnsi="Times New Roman" w:cs="Times New Roman"/>
                <w:sz w:val="20"/>
                <w:szCs w:val="20"/>
              </w:rPr>
            </w:pPr>
          </w:p>
          <w:p w14:paraId="6D1677EE" w14:textId="77777777" w:rsidR="000A2139" w:rsidRDefault="000A2139" w:rsidP="005A2DA1">
            <w:pPr>
              <w:contextualSpacing/>
              <w:rPr>
                <w:rFonts w:ascii="Times New Roman" w:hAnsi="Times New Roman" w:cs="Times New Roman"/>
                <w:sz w:val="20"/>
                <w:szCs w:val="20"/>
              </w:rPr>
            </w:pPr>
          </w:p>
          <w:p w14:paraId="1203CF7D" w14:textId="77777777" w:rsidR="000A2139" w:rsidRDefault="000A2139" w:rsidP="005A2DA1">
            <w:pPr>
              <w:contextualSpacing/>
              <w:rPr>
                <w:rFonts w:ascii="Times New Roman" w:hAnsi="Times New Roman" w:cs="Times New Roman"/>
                <w:sz w:val="20"/>
                <w:szCs w:val="20"/>
              </w:rPr>
            </w:pPr>
          </w:p>
          <w:p w14:paraId="373BA2C9" w14:textId="77777777" w:rsidR="000A2139" w:rsidRDefault="000A2139" w:rsidP="005A2DA1">
            <w:pPr>
              <w:contextualSpacing/>
              <w:rPr>
                <w:rFonts w:ascii="Times New Roman" w:hAnsi="Times New Roman" w:cs="Times New Roman"/>
                <w:sz w:val="20"/>
                <w:szCs w:val="20"/>
              </w:rPr>
            </w:pPr>
          </w:p>
          <w:p w14:paraId="05E0D197" w14:textId="77777777" w:rsidR="000A2139" w:rsidRDefault="000A2139" w:rsidP="005A2DA1">
            <w:pPr>
              <w:contextualSpacing/>
              <w:rPr>
                <w:rFonts w:ascii="Times New Roman" w:hAnsi="Times New Roman" w:cs="Times New Roman"/>
                <w:sz w:val="20"/>
                <w:szCs w:val="20"/>
              </w:rPr>
            </w:pPr>
          </w:p>
          <w:p w14:paraId="1CD535CB" w14:textId="77777777" w:rsidR="000A2139" w:rsidRDefault="000A2139" w:rsidP="005A2DA1">
            <w:pPr>
              <w:contextualSpacing/>
              <w:rPr>
                <w:rFonts w:ascii="Times New Roman" w:hAnsi="Times New Roman" w:cs="Times New Roman"/>
                <w:sz w:val="20"/>
                <w:szCs w:val="20"/>
              </w:rPr>
            </w:pPr>
          </w:p>
          <w:p w14:paraId="3A7D7F78" w14:textId="77777777" w:rsidR="000A2139" w:rsidRDefault="000A2139" w:rsidP="005A2DA1">
            <w:pPr>
              <w:contextualSpacing/>
              <w:rPr>
                <w:rFonts w:ascii="Times New Roman" w:hAnsi="Times New Roman" w:cs="Times New Roman"/>
                <w:sz w:val="20"/>
                <w:szCs w:val="20"/>
              </w:rPr>
            </w:pPr>
          </w:p>
          <w:p w14:paraId="7B8FE672" w14:textId="77777777" w:rsidR="000A2139" w:rsidRDefault="000A2139" w:rsidP="005A2DA1">
            <w:pPr>
              <w:contextualSpacing/>
              <w:rPr>
                <w:rFonts w:ascii="Times New Roman" w:hAnsi="Times New Roman" w:cs="Times New Roman"/>
                <w:sz w:val="20"/>
                <w:szCs w:val="20"/>
              </w:rPr>
            </w:pPr>
          </w:p>
          <w:p w14:paraId="5A88AB08" w14:textId="77777777" w:rsidR="000A2139" w:rsidRDefault="000A2139" w:rsidP="005A2DA1">
            <w:pPr>
              <w:contextualSpacing/>
              <w:rPr>
                <w:rFonts w:ascii="Times New Roman" w:hAnsi="Times New Roman" w:cs="Times New Roman"/>
                <w:sz w:val="20"/>
                <w:szCs w:val="20"/>
              </w:rPr>
            </w:pPr>
          </w:p>
          <w:p w14:paraId="4816496B" w14:textId="77777777" w:rsidR="000A2139" w:rsidRDefault="000A2139" w:rsidP="005A2DA1">
            <w:pPr>
              <w:contextualSpacing/>
              <w:rPr>
                <w:rFonts w:ascii="Times New Roman" w:hAnsi="Times New Roman" w:cs="Times New Roman"/>
                <w:sz w:val="20"/>
                <w:szCs w:val="20"/>
              </w:rPr>
            </w:pPr>
          </w:p>
          <w:p w14:paraId="1A0B5CD9" w14:textId="77777777" w:rsidR="000A2139" w:rsidRDefault="000A2139" w:rsidP="005A2DA1">
            <w:pPr>
              <w:contextualSpacing/>
              <w:rPr>
                <w:rFonts w:ascii="Times New Roman" w:hAnsi="Times New Roman" w:cs="Times New Roman"/>
                <w:sz w:val="20"/>
                <w:szCs w:val="20"/>
              </w:rPr>
            </w:pPr>
          </w:p>
          <w:p w14:paraId="40F5B58B" w14:textId="77777777" w:rsidR="000A2139" w:rsidRPr="005A2DA1" w:rsidRDefault="000A2139" w:rsidP="005A2DA1">
            <w:pPr>
              <w:contextualSpacing/>
              <w:rPr>
                <w:rFonts w:ascii="Times New Roman" w:hAnsi="Times New Roman" w:cs="Times New Roman"/>
                <w:sz w:val="20"/>
                <w:szCs w:val="20"/>
              </w:rPr>
            </w:pPr>
          </w:p>
          <w:p w14:paraId="2D425EA1" w14:textId="77777777" w:rsidR="000A2139" w:rsidRDefault="000A2139" w:rsidP="00F97FC0">
            <w:pPr>
              <w:rPr>
                <w:rFonts w:ascii="Times New Roman" w:hAnsi="Times New Roman" w:cs="Times New Roman"/>
                <w:sz w:val="20"/>
                <w:szCs w:val="20"/>
              </w:rPr>
            </w:pPr>
          </w:p>
          <w:p w14:paraId="663504C0" w14:textId="77777777" w:rsidR="000A2139" w:rsidRDefault="000A2139" w:rsidP="00F97FC0">
            <w:pPr>
              <w:rPr>
                <w:rFonts w:ascii="Times New Roman" w:hAnsi="Times New Roman" w:cs="Times New Roman"/>
                <w:sz w:val="20"/>
                <w:szCs w:val="20"/>
              </w:rPr>
            </w:pPr>
          </w:p>
          <w:p w14:paraId="1B0437C8" w14:textId="77777777" w:rsidR="000A2139" w:rsidRDefault="000A2139" w:rsidP="00F97FC0">
            <w:pPr>
              <w:rPr>
                <w:rFonts w:ascii="Times New Roman" w:hAnsi="Times New Roman" w:cs="Times New Roman"/>
                <w:sz w:val="20"/>
                <w:szCs w:val="20"/>
              </w:rPr>
            </w:pPr>
          </w:p>
          <w:p w14:paraId="0BDCBB11" w14:textId="77777777" w:rsidR="000A2139" w:rsidRDefault="000A2139" w:rsidP="00F97FC0">
            <w:pPr>
              <w:rPr>
                <w:rFonts w:ascii="Times New Roman" w:hAnsi="Times New Roman" w:cs="Times New Roman"/>
                <w:sz w:val="20"/>
                <w:szCs w:val="20"/>
              </w:rPr>
            </w:pPr>
          </w:p>
          <w:p w14:paraId="2E0132A0" w14:textId="77777777" w:rsidR="000A2139" w:rsidRDefault="000A2139" w:rsidP="00F97FC0">
            <w:pPr>
              <w:rPr>
                <w:rFonts w:ascii="Times New Roman" w:hAnsi="Times New Roman" w:cs="Times New Roman"/>
                <w:sz w:val="20"/>
                <w:szCs w:val="20"/>
              </w:rPr>
            </w:pPr>
          </w:p>
          <w:p w14:paraId="7EFFE77B" w14:textId="77777777" w:rsidR="000A2139" w:rsidRDefault="000A2139" w:rsidP="00F97FC0">
            <w:pPr>
              <w:rPr>
                <w:rFonts w:ascii="Times New Roman" w:hAnsi="Times New Roman" w:cs="Times New Roman"/>
                <w:sz w:val="20"/>
                <w:szCs w:val="20"/>
              </w:rPr>
            </w:pPr>
          </w:p>
          <w:p w14:paraId="3A606533" w14:textId="77777777" w:rsidR="000A2139" w:rsidRDefault="000A2139" w:rsidP="00F97FC0">
            <w:pPr>
              <w:rPr>
                <w:rFonts w:ascii="Times New Roman" w:hAnsi="Times New Roman" w:cs="Times New Roman"/>
                <w:sz w:val="20"/>
                <w:szCs w:val="20"/>
              </w:rPr>
            </w:pPr>
          </w:p>
          <w:p w14:paraId="1F1737C3" w14:textId="77777777" w:rsidR="000A2139" w:rsidRDefault="000A2139" w:rsidP="00F97FC0">
            <w:pPr>
              <w:rPr>
                <w:rFonts w:ascii="Times New Roman" w:hAnsi="Times New Roman" w:cs="Times New Roman"/>
                <w:sz w:val="20"/>
                <w:szCs w:val="20"/>
              </w:rPr>
            </w:pPr>
          </w:p>
          <w:p w14:paraId="58C2EC56" w14:textId="77777777" w:rsidR="000A2139" w:rsidRDefault="000A2139" w:rsidP="00F97FC0">
            <w:pPr>
              <w:rPr>
                <w:rFonts w:ascii="Times New Roman" w:hAnsi="Times New Roman" w:cs="Times New Roman"/>
                <w:sz w:val="20"/>
                <w:szCs w:val="20"/>
              </w:rPr>
            </w:pPr>
          </w:p>
          <w:p w14:paraId="48F1776F" w14:textId="77777777" w:rsidR="000A2139" w:rsidRPr="0024617B" w:rsidRDefault="000A2139" w:rsidP="0024617B">
            <w:pPr>
              <w:ind w:left="432"/>
              <w:contextualSpacing/>
              <w:rPr>
                <w:rFonts w:ascii="Times New Roman" w:hAnsi="Times New Roman" w:cs="Times New Roman"/>
                <w:sz w:val="20"/>
                <w:szCs w:val="20"/>
              </w:rPr>
            </w:pPr>
          </w:p>
          <w:p w14:paraId="727FAF25" w14:textId="77777777" w:rsidR="000A2139" w:rsidRPr="0024617B" w:rsidRDefault="000A2139" w:rsidP="0024617B">
            <w:pPr>
              <w:contextualSpacing/>
              <w:rPr>
                <w:rFonts w:ascii="Times New Roman" w:hAnsi="Times New Roman" w:cs="Times New Roman"/>
                <w:sz w:val="20"/>
                <w:szCs w:val="20"/>
              </w:rPr>
            </w:pPr>
          </w:p>
          <w:p w14:paraId="276F05C5" w14:textId="77777777" w:rsidR="000A2139" w:rsidRPr="00D45A2C" w:rsidRDefault="000A2139" w:rsidP="00D45A2C">
            <w:pPr>
              <w:ind w:left="432"/>
              <w:contextualSpacing/>
              <w:rPr>
                <w:rFonts w:ascii="Times New Roman" w:hAnsi="Times New Roman" w:cs="Times New Roman"/>
                <w:sz w:val="20"/>
                <w:szCs w:val="20"/>
              </w:rPr>
            </w:pPr>
          </w:p>
          <w:p w14:paraId="693D1C9F" w14:textId="77777777" w:rsidR="000A2139" w:rsidRPr="00D45A2C" w:rsidRDefault="000A2139" w:rsidP="00D45A2C">
            <w:pPr>
              <w:ind w:left="432"/>
              <w:contextualSpacing/>
              <w:rPr>
                <w:rFonts w:ascii="Times New Roman" w:hAnsi="Times New Roman" w:cs="Times New Roman"/>
                <w:sz w:val="20"/>
                <w:szCs w:val="20"/>
              </w:rPr>
            </w:pPr>
          </w:p>
          <w:p w14:paraId="687FF998" w14:textId="785D8E57" w:rsidR="000A2139" w:rsidRDefault="000A2139" w:rsidP="00D45A2C">
            <w:pPr>
              <w:ind w:left="432"/>
              <w:contextualSpacing/>
              <w:rPr>
                <w:rFonts w:ascii="Times New Roman" w:hAnsi="Times New Roman" w:cs="Times New Roman"/>
                <w:sz w:val="20"/>
                <w:szCs w:val="20"/>
              </w:rPr>
            </w:pPr>
          </w:p>
          <w:p w14:paraId="382AA607" w14:textId="77777777" w:rsidR="000A2139" w:rsidRDefault="000A2139" w:rsidP="00D45A2C">
            <w:pPr>
              <w:ind w:left="432"/>
              <w:contextualSpacing/>
              <w:rPr>
                <w:rFonts w:ascii="Times New Roman" w:hAnsi="Times New Roman" w:cs="Times New Roman"/>
                <w:sz w:val="20"/>
                <w:szCs w:val="20"/>
              </w:rPr>
            </w:pPr>
          </w:p>
          <w:p w14:paraId="7D35B6E7" w14:textId="0D31BE40" w:rsidR="00380F89" w:rsidRDefault="00380F89" w:rsidP="00D45A2C">
            <w:pPr>
              <w:contextualSpacing/>
              <w:rPr>
                <w:rFonts w:ascii="Times New Roman" w:hAnsi="Times New Roman" w:cs="Times New Roman"/>
                <w:sz w:val="20"/>
                <w:szCs w:val="20"/>
              </w:rPr>
            </w:pPr>
          </w:p>
          <w:p w14:paraId="485C4809" w14:textId="77777777" w:rsidR="00D27493" w:rsidRPr="00D45A2C" w:rsidRDefault="00D27493" w:rsidP="00D45A2C">
            <w:pPr>
              <w:contextualSpacing/>
              <w:rPr>
                <w:rFonts w:ascii="Times New Roman" w:hAnsi="Times New Roman" w:cs="Times New Roman"/>
                <w:sz w:val="20"/>
                <w:szCs w:val="20"/>
              </w:rPr>
            </w:pPr>
          </w:p>
          <w:p w14:paraId="54E49230" w14:textId="77777777" w:rsidR="000A2139" w:rsidRPr="003447AB" w:rsidRDefault="000A2139" w:rsidP="00C82490">
            <w:pPr>
              <w:numPr>
                <w:ilvl w:val="0"/>
                <w:numId w:val="30"/>
              </w:numPr>
              <w:contextualSpacing/>
              <w:rPr>
                <w:rFonts w:ascii="Times New Roman" w:hAnsi="Times New Roman" w:cs="Times New Roman"/>
                <w:sz w:val="20"/>
                <w:szCs w:val="20"/>
              </w:rPr>
            </w:pPr>
            <w:r w:rsidRPr="00272594">
              <w:rPr>
                <w:rFonts w:ascii="Times New Roman" w:hAnsi="Times New Roman" w:cs="Times New Roman"/>
                <w:b/>
                <w:sz w:val="20"/>
                <w:szCs w:val="20"/>
                <w:u w:val="single"/>
              </w:rPr>
              <w:t>Conclusion</w:t>
            </w:r>
            <w:r w:rsidRPr="003447AB">
              <w:rPr>
                <w:rFonts w:ascii="Times New Roman" w:hAnsi="Times New Roman" w:cs="Times New Roman"/>
                <w:sz w:val="20"/>
                <w:szCs w:val="20"/>
              </w:rPr>
              <w:t>: Court found that Pan American pooling arrangement was not a bona fide insurance company, that the policies it was issuing were not insurance and that Feedback’s reinsurance of those same policies did not accomplish sufficient risk distribution.</w:t>
            </w:r>
            <w:r w:rsidRPr="003447AB">
              <w:rPr>
                <w:rFonts w:ascii="Times New Roman" w:hAnsi="Times New Roman" w:cs="Times New Roman"/>
                <w:sz w:val="20"/>
                <w:szCs w:val="20"/>
                <w:vertAlign w:val="superscript"/>
              </w:rPr>
              <w:endnoteReference w:id="17"/>
            </w:r>
          </w:p>
          <w:p w14:paraId="5FC925FC" w14:textId="77777777" w:rsidR="000A2139" w:rsidRPr="003447AB" w:rsidRDefault="000A2139" w:rsidP="00CF4DC2">
            <w:pPr>
              <w:ind w:left="216"/>
              <w:contextualSpacing/>
              <w:rPr>
                <w:rFonts w:ascii="Times New Roman" w:hAnsi="Times New Roman" w:cs="Times New Roman"/>
                <w:sz w:val="20"/>
                <w:szCs w:val="20"/>
              </w:rPr>
            </w:pPr>
          </w:p>
        </w:tc>
        <w:tc>
          <w:tcPr>
            <w:tcW w:w="4950" w:type="dxa"/>
          </w:tcPr>
          <w:p w14:paraId="42C319A0" w14:textId="32F2DCDB" w:rsidR="000A2139" w:rsidRPr="00F40798" w:rsidRDefault="000A2139" w:rsidP="00DB1925">
            <w:pPr>
              <w:contextualSpacing/>
              <w:rPr>
                <w:rFonts w:ascii="Times New Roman" w:hAnsi="Times New Roman" w:cs="Times New Roman"/>
                <w:sz w:val="20"/>
                <w:szCs w:val="20"/>
              </w:rPr>
            </w:pPr>
            <w:r w:rsidRPr="00F40798">
              <w:rPr>
                <w:rFonts w:ascii="Times New Roman" w:hAnsi="Times New Roman" w:cs="Times New Roman"/>
                <w:sz w:val="20"/>
                <w:szCs w:val="20"/>
                <w:u w:val="single"/>
              </w:rPr>
              <w:lastRenderedPageBreak/>
              <w:t xml:space="preserve">New “bona fide insurance company” </w:t>
            </w:r>
            <w:r>
              <w:rPr>
                <w:rFonts w:ascii="Times New Roman" w:hAnsi="Times New Roman" w:cs="Times New Roman"/>
                <w:sz w:val="20"/>
                <w:szCs w:val="20"/>
                <w:u w:val="single"/>
              </w:rPr>
              <w:t>requirement</w:t>
            </w:r>
            <w:r w:rsidRPr="00F40798">
              <w:rPr>
                <w:rFonts w:ascii="Times New Roman" w:hAnsi="Times New Roman" w:cs="Times New Roman"/>
                <w:sz w:val="20"/>
                <w:szCs w:val="20"/>
                <w:u w:val="single"/>
              </w:rPr>
              <w:t xml:space="preserve"> followed</w:t>
            </w:r>
            <w:r>
              <w:rPr>
                <w:rFonts w:ascii="Times New Roman" w:hAnsi="Times New Roman" w:cs="Times New Roman"/>
                <w:sz w:val="20"/>
                <w:szCs w:val="20"/>
                <w:u w:val="single"/>
              </w:rPr>
              <w:t xml:space="preserve"> with no analysis of IRS rulings on pooling arrangements:</w:t>
            </w:r>
          </w:p>
          <w:p w14:paraId="51BAEA3D" w14:textId="3954ECAC" w:rsidR="000A2139" w:rsidRDefault="000A2139" w:rsidP="009A49CD">
            <w:pPr>
              <w:contextualSpacing/>
              <w:rPr>
                <w:rFonts w:ascii="Times New Roman" w:hAnsi="Times New Roman" w:cs="Times New Roman"/>
                <w:sz w:val="20"/>
                <w:szCs w:val="20"/>
              </w:rPr>
            </w:pPr>
            <w:r w:rsidRPr="00F40798">
              <w:rPr>
                <w:rFonts w:ascii="Times New Roman" w:hAnsi="Times New Roman" w:cs="Times New Roman"/>
                <w:sz w:val="20"/>
                <w:szCs w:val="20"/>
              </w:rPr>
              <w:t>Court applied the same “bona fide insurance company” test (9</w:t>
            </w:r>
            <w:r w:rsidR="00421025">
              <w:rPr>
                <w:rFonts w:ascii="Times New Roman" w:hAnsi="Times New Roman" w:cs="Times New Roman"/>
                <w:sz w:val="20"/>
                <w:szCs w:val="20"/>
              </w:rPr>
              <w:t>-</w:t>
            </w:r>
            <w:r w:rsidRPr="00F40798">
              <w:rPr>
                <w:rFonts w:ascii="Times New Roman" w:hAnsi="Times New Roman" w:cs="Times New Roman"/>
                <w:sz w:val="20"/>
                <w:szCs w:val="20"/>
              </w:rPr>
              <w:t xml:space="preserve">factor test) to the pooling arrangement to determine whether the captive distributed risk by participating in the PoolRe pooling arrangement, citing to </w:t>
            </w:r>
            <w:r w:rsidRPr="00F40798">
              <w:rPr>
                <w:rFonts w:ascii="Times New Roman" w:hAnsi="Times New Roman" w:cs="Times New Roman"/>
                <w:i/>
                <w:sz w:val="20"/>
                <w:szCs w:val="20"/>
              </w:rPr>
              <w:t>Avrahami</w:t>
            </w:r>
            <w:r w:rsidRPr="00F40798">
              <w:rPr>
                <w:rFonts w:ascii="Times New Roman" w:hAnsi="Times New Roman" w:cs="Times New Roman"/>
                <w:sz w:val="20"/>
                <w:szCs w:val="20"/>
              </w:rPr>
              <w:t xml:space="preserve"> and </w:t>
            </w:r>
            <w:r w:rsidRPr="00F40798">
              <w:rPr>
                <w:rFonts w:ascii="Times New Roman" w:hAnsi="Times New Roman" w:cs="Times New Roman"/>
                <w:i/>
                <w:sz w:val="20"/>
                <w:szCs w:val="20"/>
              </w:rPr>
              <w:t>Rent-A-Center</w:t>
            </w:r>
            <w:r w:rsidRPr="00F40798">
              <w:rPr>
                <w:rFonts w:ascii="Times New Roman" w:hAnsi="Times New Roman" w:cs="Times New Roman"/>
                <w:sz w:val="20"/>
                <w:szCs w:val="20"/>
              </w:rPr>
              <w:t>.</w:t>
            </w:r>
            <w:r w:rsidRPr="00F40798">
              <w:rPr>
                <w:rFonts w:ascii="Times New Roman" w:hAnsi="Times New Roman" w:cs="Times New Roman"/>
                <w:sz w:val="20"/>
                <w:szCs w:val="20"/>
                <w:vertAlign w:val="superscript"/>
              </w:rPr>
              <w:endnoteReference w:id="18"/>
            </w:r>
          </w:p>
          <w:p w14:paraId="0AB8FB35" w14:textId="77777777" w:rsidR="000A2139" w:rsidRDefault="000A2139" w:rsidP="009A49CD">
            <w:pPr>
              <w:rPr>
                <w:rFonts w:ascii="Times New Roman" w:hAnsi="Times New Roman" w:cs="Times New Roman"/>
                <w:sz w:val="20"/>
                <w:szCs w:val="20"/>
              </w:rPr>
            </w:pPr>
          </w:p>
          <w:p w14:paraId="7589D9F2" w14:textId="4CE1F0E4" w:rsidR="000A2139" w:rsidRPr="009A49CD" w:rsidRDefault="000A2139" w:rsidP="009A49CD">
            <w:pPr>
              <w:rPr>
                <w:rFonts w:ascii="Times New Roman" w:hAnsi="Times New Roman" w:cs="Times New Roman"/>
                <w:sz w:val="20"/>
                <w:szCs w:val="20"/>
              </w:rPr>
            </w:pPr>
            <w:r w:rsidRPr="009A49CD">
              <w:rPr>
                <w:rFonts w:ascii="Times New Roman" w:hAnsi="Times New Roman" w:cs="Times New Roman"/>
                <w:sz w:val="20"/>
                <w:szCs w:val="20"/>
              </w:rPr>
              <w:t xml:space="preserve">The </w:t>
            </w:r>
            <w:r w:rsidRPr="009A49CD">
              <w:rPr>
                <w:rFonts w:ascii="Times New Roman" w:hAnsi="Times New Roman" w:cs="Times New Roman"/>
                <w:i/>
                <w:sz w:val="20"/>
                <w:szCs w:val="20"/>
              </w:rPr>
              <w:t>Reserve</w:t>
            </w:r>
            <w:r w:rsidRPr="009A49CD">
              <w:rPr>
                <w:rFonts w:ascii="Times New Roman" w:hAnsi="Times New Roman" w:cs="Times New Roman"/>
                <w:sz w:val="20"/>
                <w:szCs w:val="20"/>
              </w:rPr>
              <w:t xml:space="preserve"> </w:t>
            </w:r>
            <w:r>
              <w:rPr>
                <w:rFonts w:ascii="Times New Roman" w:hAnsi="Times New Roman" w:cs="Times New Roman"/>
                <w:sz w:val="20"/>
                <w:szCs w:val="20"/>
              </w:rPr>
              <w:t>C</w:t>
            </w:r>
            <w:r w:rsidRPr="009A49CD">
              <w:rPr>
                <w:rFonts w:ascii="Times New Roman" w:hAnsi="Times New Roman" w:cs="Times New Roman"/>
                <w:sz w:val="20"/>
                <w:szCs w:val="20"/>
              </w:rPr>
              <w:t xml:space="preserve">ourt applied this new 9-factor test </w:t>
            </w:r>
            <w:r w:rsidRPr="009A49CD">
              <w:rPr>
                <w:rFonts w:ascii="Times New Roman" w:hAnsi="Times New Roman" w:cs="Times New Roman"/>
                <w:b/>
                <w:sz w:val="20"/>
                <w:szCs w:val="20"/>
              </w:rPr>
              <w:t>retroactively</w:t>
            </w:r>
            <w:r w:rsidRPr="009A49CD">
              <w:rPr>
                <w:rFonts w:ascii="Times New Roman" w:hAnsi="Times New Roman" w:cs="Times New Roman"/>
                <w:sz w:val="20"/>
                <w:szCs w:val="20"/>
              </w:rPr>
              <w:t xml:space="preserve"> to the PoolRe pooling arrangement despite: (1) </w:t>
            </w:r>
            <w:r w:rsidRPr="009A49CD">
              <w:rPr>
                <w:rFonts w:ascii="Times New Roman" w:hAnsi="Times New Roman" w:cs="Times New Roman"/>
                <w:sz w:val="20"/>
                <w:szCs w:val="20"/>
                <w:u w:val="single"/>
              </w:rPr>
              <w:t>neither party</w:t>
            </w:r>
            <w:r>
              <w:rPr>
                <w:rFonts w:ascii="Times New Roman" w:hAnsi="Times New Roman" w:cs="Times New Roman"/>
                <w:sz w:val="20"/>
                <w:szCs w:val="20"/>
                <w:u w:val="single"/>
              </w:rPr>
              <w:t xml:space="preserve"> presenting evidence on </w:t>
            </w:r>
            <w:r w:rsidRPr="009A49CD">
              <w:rPr>
                <w:rFonts w:ascii="Times New Roman" w:hAnsi="Times New Roman" w:cs="Times New Roman"/>
                <w:sz w:val="20"/>
                <w:szCs w:val="20"/>
                <w:u w:val="single"/>
              </w:rPr>
              <w:t>this issue</w:t>
            </w:r>
            <w:r w:rsidRPr="009A49CD">
              <w:rPr>
                <w:rFonts w:ascii="Times New Roman" w:hAnsi="Times New Roman" w:cs="Times New Roman"/>
                <w:sz w:val="20"/>
                <w:szCs w:val="20"/>
              </w:rPr>
              <w:t xml:space="preserve"> at trial and (2) the </w:t>
            </w:r>
            <w:r w:rsidRPr="009A49CD">
              <w:rPr>
                <w:rFonts w:ascii="Times New Roman" w:hAnsi="Times New Roman" w:cs="Times New Roman"/>
                <w:i/>
                <w:sz w:val="20"/>
                <w:szCs w:val="20"/>
              </w:rPr>
              <w:t>Reserve</w:t>
            </w:r>
            <w:r w:rsidRPr="009A49CD">
              <w:rPr>
                <w:rFonts w:ascii="Times New Roman" w:hAnsi="Times New Roman" w:cs="Times New Roman"/>
                <w:sz w:val="20"/>
                <w:szCs w:val="20"/>
              </w:rPr>
              <w:t xml:space="preserve"> trial concluding on May 2, 2017, </w:t>
            </w:r>
            <w:r w:rsidRPr="009A49CD">
              <w:rPr>
                <w:rFonts w:ascii="Times New Roman" w:hAnsi="Times New Roman" w:cs="Times New Roman"/>
                <w:sz w:val="20"/>
                <w:szCs w:val="20"/>
                <w:u w:val="single"/>
              </w:rPr>
              <w:t xml:space="preserve">more than 3 1/2 months </w:t>
            </w:r>
            <w:r w:rsidRPr="009A49CD">
              <w:rPr>
                <w:rFonts w:ascii="Times New Roman" w:hAnsi="Times New Roman" w:cs="Times New Roman"/>
                <w:b/>
                <w:sz w:val="20"/>
                <w:szCs w:val="20"/>
                <w:u w:val="single"/>
              </w:rPr>
              <w:t>before</w:t>
            </w:r>
            <w:r w:rsidRPr="009A49CD">
              <w:rPr>
                <w:rFonts w:ascii="Times New Roman" w:hAnsi="Times New Roman" w:cs="Times New Roman"/>
                <w:sz w:val="20"/>
                <w:szCs w:val="20"/>
                <w:u w:val="single"/>
              </w:rPr>
              <w:t xml:space="preserve"> Judge Holmes</w:t>
            </w:r>
            <w:r w:rsidRPr="009A49CD">
              <w:rPr>
                <w:rFonts w:ascii="Times New Roman" w:hAnsi="Times New Roman" w:cs="Times New Roman"/>
                <w:sz w:val="20"/>
                <w:szCs w:val="20"/>
              </w:rPr>
              <w:t xml:space="preserve"> issued the </w:t>
            </w:r>
            <w:r w:rsidRPr="009A49CD">
              <w:rPr>
                <w:rFonts w:ascii="Times New Roman" w:hAnsi="Times New Roman" w:cs="Times New Roman"/>
                <w:i/>
                <w:sz w:val="20"/>
                <w:szCs w:val="20"/>
              </w:rPr>
              <w:t>Avrahami</w:t>
            </w:r>
            <w:r w:rsidRPr="009A49CD">
              <w:rPr>
                <w:rFonts w:ascii="Times New Roman" w:hAnsi="Times New Roman" w:cs="Times New Roman"/>
                <w:sz w:val="20"/>
                <w:szCs w:val="20"/>
              </w:rPr>
              <w:t xml:space="preserve"> opinion announcing this erroneous new requirement.</w:t>
            </w:r>
          </w:p>
          <w:p w14:paraId="447B13DF" w14:textId="77777777" w:rsidR="000A2139" w:rsidRDefault="000A2139" w:rsidP="00506385">
            <w:pPr>
              <w:contextualSpacing/>
              <w:rPr>
                <w:rFonts w:ascii="Times New Roman" w:hAnsi="Times New Roman" w:cs="Times New Roman"/>
                <w:sz w:val="20"/>
                <w:szCs w:val="20"/>
                <w:u w:val="single"/>
              </w:rPr>
            </w:pPr>
          </w:p>
          <w:p w14:paraId="40B62EB3" w14:textId="77777777" w:rsidR="000A2139" w:rsidRDefault="000A2139" w:rsidP="009513E9">
            <w:pPr>
              <w:contextualSpacing/>
              <w:rPr>
                <w:rFonts w:ascii="Times New Roman" w:hAnsi="Times New Roman" w:cs="Times New Roman"/>
                <w:sz w:val="20"/>
                <w:szCs w:val="20"/>
                <w:u w:val="single"/>
              </w:rPr>
            </w:pPr>
          </w:p>
          <w:p w14:paraId="282A56F4" w14:textId="77777777" w:rsidR="000A2139" w:rsidRDefault="000A2139" w:rsidP="009513E9">
            <w:pPr>
              <w:contextualSpacing/>
              <w:rPr>
                <w:rFonts w:ascii="Times New Roman" w:hAnsi="Times New Roman" w:cs="Times New Roman"/>
                <w:sz w:val="20"/>
                <w:szCs w:val="20"/>
                <w:u w:val="single"/>
              </w:rPr>
            </w:pPr>
          </w:p>
          <w:p w14:paraId="7B56A4E1" w14:textId="77777777" w:rsidR="000A2139" w:rsidRDefault="000A2139" w:rsidP="009513E9">
            <w:pPr>
              <w:contextualSpacing/>
              <w:rPr>
                <w:rFonts w:ascii="Times New Roman" w:hAnsi="Times New Roman" w:cs="Times New Roman"/>
                <w:sz w:val="20"/>
                <w:szCs w:val="20"/>
                <w:u w:val="single"/>
              </w:rPr>
            </w:pPr>
          </w:p>
          <w:p w14:paraId="14D2C9D9" w14:textId="77777777" w:rsidR="000A2139" w:rsidRPr="003447AB" w:rsidRDefault="000A2139" w:rsidP="009513E9">
            <w:pPr>
              <w:contextualSpacing/>
              <w:rPr>
                <w:rFonts w:ascii="Times New Roman" w:hAnsi="Times New Roman" w:cs="Times New Roman"/>
                <w:sz w:val="20"/>
                <w:szCs w:val="20"/>
              </w:rPr>
            </w:pPr>
            <w:r>
              <w:rPr>
                <w:rFonts w:ascii="Times New Roman" w:hAnsi="Times New Roman" w:cs="Times New Roman"/>
                <w:sz w:val="20"/>
                <w:szCs w:val="20"/>
                <w:u w:val="single"/>
              </w:rPr>
              <w:t xml:space="preserve">Among the </w:t>
            </w:r>
            <w:r w:rsidRPr="003447AB">
              <w:rPr>
                <w:rFonts w:ascii="Times New Roman" w:hAnsi="Times New Roman" w:cs="Times New Roman"/>
                <w:sz w:val="20"/>
                <w:szCs w:val="20"/>
                <w:u w:val="single"/>
              </w:rPr>
              <w:t>“</w:t>
            </w:r>
            <w:r>
              <w:rPr>
                <w:rFonts w:ascii="Times New Roman" w:hAnsi="Times New Roman" w:cs="Times New Roman"/>
                <w:sz w:val="20"/>
                <w:szCs w:val="20"/>
                <w:u w:val="single"/>
              </w:rPr>
              <w:t>b</w:t>
            </w:r>
            <w:r w:rsidRPr="003447AB">
              <w:rPr>
                <w:rFonts w:ascii="Times New Roman" w:hAnsi="Times New Roman" w:cs="Times New Roman"/>
                <w:sz w:val="20"/>
                <w:szCs w:val="20"/>
                <w:u w:val="single"/>
              </w:rPr>
              <w:t>ona fide insurance company” factors discussed</w:t>
            </w:r>
            <w:r>
              <w:rPr>
                <w:rFonts w:ascii="Times New Roman" w:hAnsi="Times New Roman" w:cs="Times New Roman"/>
                <w:sz w:val="20"/>
                <w:szCs w:val="20"/>
                <w:u w:val="single"/>
              </w:rPr>
              <w:t xml:space="preserve"> were:</w:t>
            </w:r>
          </w:p>
          <w:p w14:paraId="75965402" w14:textId="77777777" w:rsidR="000A2139" w:rsidRDefault="000A2139" w:rsidP="00801A35">
            <w:pPr>
              <w:contextualSpacing/>
              <w:rPr>
                <w:rFonts w:ascii="Times New Roman" w:hAnsi="Times New Roman" w:cs="Times New Roman"/>
                <w:sz w:val="20"/>
                <w:szCs w:val="20"/>
              </w:rPr>
            </w:pPr>
          </w:p>
          <w:p w14:paraId="2321CA30" w14:textId="77777777" w:rsidR="000A2139" w:rsidRPr="00F40798" w:rsidRDefault="000A2139" w:rsidP="00801A35">
            <w:pPr>
              <w:contextualSpacing/>
              <w:rPr>
                <w:rFonts w:ascii="Times New Roman" w:hAnsi="Times New Roman" w:cs="Times New Roman"/>
                <w:sz w:val="20"/>
                <w:szCs w:val="20"/>
              </w:rPr>
            </w:pPr>
            <w:r>
              <w:rPr>
                <w:rFonts w:ascii="Times New Roman" w:hAnsi="Times New Roman" w:cs="Times New Roman"/>
                <w:sz w:val="20"/>
                <w:szCs w:val="20"/>
              </w:rPr>
              <w:t xml:space="preserve">1.  </w:t>
            </w:r>
            <w:r w:rsidRPr="00F40798">
              <w:rPr>
                <w:rFonts w:ascii="Times New Roman" w:hAnsi="Times New Roman" w:cs="Times New Roman"/>
                <w:sz w:val="20"/>
                <w:szCs w:val="20"/>
              </w:rPr>
              <w:t>Circular flow of funds</w:t>
            </w:r>
          </w:p>
          <w:p w14:paraId="625657D8" w14:textId="77777777" w:rsidR="000A2139" w:rsidRDefault="000A2139" w:rsidP="00C82490">
            <w:pPr>
              <w:pStyle w:val="ListParagraph"/>
              <w:numPr>
                <w:ilvl w:val="0"/>
                <w:numId w:val="8"/>
              </w:numPr>
              <w:rPr>
                <w:rFonts w:ascii="Times New Roman" w:hAnsi="Times New Roman" w:cs="Times New Roman"/>
                <w:sz w:val="20"/>
                <w:szCs w:val="20"/>
              </w:rPr>
            </w:pPr>
            <w:r w:rsidRPr="00F40798">
              <w:rPr>
                <w:rFonts w:ascii="Times New Roman" w:hAnsi="Times New Roman" w:cs="Times New Roman"/>
                <w:sz w:val="20"/>
                <w:szCs w:val="20"/>
              </w:rPr>
              <w:t xml:space="preserve">Court </w:t>
            </w:r>
            <w:r>
              <w:rPr>
                <w:rFonts w:ascii="Times New Roman" w:hAnsi="Times New Roman" w:cs="Times New Roman"/>
                <w:sz w:val="20"/>
                <w:szCs w:val="20"/>
              </w:rPr>
              <w:t xml:space="preserve">citing to </w:t>
            </w:r>
            <w:r w:rsidRPr="00F40798">
              <w:rPr>
                <w:rFonts w:ascii="Times New Roman" w:hAnsi="Times New Roman" w:cs="Times New Roman"/>
                <w:i/>
                <w:sz w:val="20"/>
                <w:szCs w:val="20"/>
              </w:rPr>
              <w:t>Avrahami</w:t>
            </w:r>
            <w:r w:rsidRPr="00F40798">
              <w:rPr>
                <w:rFonts w:ascii="Times New Roman" w:hAnsi="Times New Roman" w:cs="Times New Roman"/>
                <w:sz w:val="20"/>
                <w:szCs w:val="20"/>
              </w:rPr>
              <w:t xml:space="preserve"> found this factor present since the result under the quota share arrangement was that “Reserve would receive payments from PoolRe in exactly the same amount as the payments that PoolRe was entitled to receive from [the insureds] for the stop loss coverage.”  </w:t>
            </w:r>
            <w:r>
              <w:rPr>
                <w:rFonts w:ascii="Times New Roman" w:hAnsi="Times New Roman" w:cs="Times New Roman"/>
                <w:sz w:val="20"/>
                <w:szCs w:val="20"/>
              </w:rPr>
              <w:t xml:space="preserve">Court ignored that the risks underpinning the premiums were vastly different as were the parties receiving the funds: (a) Peak and the other insureds paid premiums to PoolRe for 11-14 policies for each year at issue, (b) In 2010 alone, PoolRe homogenized and blended 650+ policies from 200+ insureds, ceding a portion of these risks under the quota share agreement to Reserve.  </w:t>
            </w:r>
          </w:p>
          <w:p w14:paraId="2574F374" w14:textId="77777777" w:rsidR="000A2139" w:rsidRPr="00055F9A" w:rsidRDefault="000A2139" w:rsidP="00055F9A">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lastRenderedPageBreak/>
              <w:t xml:space="preserve">In fact, there was no “circularity of funds” because the parties are different; the </w:t>
            </w:r>
            <w:r w:rsidRPr="00801A35">
              <w:rPr>
                <w:rFonts w:ascii="Times New Roman" w:hAnsi="Times New Roman" w:cs="Times New Roman"/>
                <w:i/>
                <w:sz w:val="20"/>
                <w:szCs w:val="20"/>
              </w:rPr>
              <w:t>Reserve</w:t>
            </w:r>
            <w:r>
              <w:rPr>
                <w:rFonts w:ascii="Times New Roman" w:hAnsi="Times New Roman" w:cs="Times New Roman"/>
                <w:sz w:val="20"/>
                <w:szCs w:val="20"/>
              </w:rPr>
              <w:t xml:space="preserve"> Court conflated the three Peak insureds (each a separate taxpayer) with Reserve as insurer (also a separate taxpayer), ignoring the distinct corporate existence of these taxpayers.</w:t>
            </w:r>
          </w:p>
          <w:p w14:paraId="12AC77E5" w14:textId="3DB3C0BA" w:rsidR="000A2139" w:rsidRPr="00950154" w:rsidRDefault="000A2139" w:rsidP="00C82490">
            <w:pPr>
              <w:pStyle w:val="ListParagraph"/>
              <w:numPr>
                <w:ilvl w:val="0"/>
                <w:numId w:val="8"/>
              </w:numPr>
              <w:rPr>
                <w:rFonts w:ascii="Times New Roman" w:hAnsi="Times New Roman" w:cs="Times New Roman"/>
                <w:sz w:val="20"/>
                <w:szCs w:val="20"/>
              </w:rPr>
            </w:pPr>
            <w:r w:rsidRPr="00055F9A">
              <w:rPr>
                <w:rFonts w:ascii="Times New Roman" w:hAnsi="Times New Roman" w:cs="Times New Roman"/>
                <w:sz w:val="20"/>
                <w:szCs w:val="20"/>
              </w:rPr>
              <w:t xml:space="preserve">Additionally, the Court ignored the separate </w:t>
            </w:r>
            <w:r>
              <w:rPr>
                <w:rFonts w:ascii="Times New Roman" w:hAnsi="Times New Roman" w:cs="Times New Roman"/>
                <w:sz w:val="20"/>
                <w:szCs w:val="20"/>
              </w:rPr>
              <w:t xml:space="preserve">corporate existence </w:t>
            </w:r>
            <w:r w:rsidRPr="00055F9A">
              <w:rPr>
                <w:rFonts w:ascii="Times New Roman" w:hAnsi="Times New Roman" w:cs="Times New Roman"/>
                <w:sz w:val="20"/>
                <w:szCs w:val="20"/>
              </w:rPr>
              <w:t xml:space="preserve">of the insured parties versus the participating insurers.  </w:t>
            </w:r>
            <w:r w:rsidRPr="004E3A41">
              <w:rPr>
                <w:rFonts w:ascii="Times New Roman" w:hAnsi="Times New Roman" w:cs="Times New Roman"/>
                <w:b/>
                <w:sz w:val="20"/>
                <w:szCs w:val="20"/>
              </w:rPr>
              <w:t>See discussion at pag</w:t>
            </w:r>
            <w:r w:rsidR="00C24260">
              <w:rPr>
                <w:rFonts w:ascii="Times New Roman" w:hAnsi="Times New Roman" w:cs="Times New Roman"/>
                <w:b/>
                <w:sz w:val="20"/>
                <w:szCs w:val="20"/>
              </w:rPr>
              <w:t>es 2</w:t>
            </w:r>
            <w:r w:rsidR="001B5A8B">
              <w:rPr>
                <w:rFonts w:ascii="Times New Roman" w:hAnsi="Times New Roman" w:cs="Times New Roman"/>
                <w:b/>
                <w:sz w:val="20"/>
                <w:szCs w:val="20"/>
              </w:rPr>
              <w:t>1</w:t>
            </w:r>
            <w:r w:rsidR="00C24260">
              <w:rPr>
                <w:rFonts w:ascii="Times New Roman" w:hAnsi="Times New Roman" w:cs="Times New Roman"/>
                <w:b/>
                <w:sz w:val="20"/>
                <w:szCs w:val="20"/>
              </w:rPr>
              <w:t xml:space="preserve">-23 </w:t>
            </w:r>
            <w:r w:rsidRPr="004E3A41">
              <w:rPr>
                <w:rFonts w:ascii="Times New Roman" w:hAnsi="Times New Roman" w:cs="Times New Roman"/>
                <w:b/>
                <w:sz w:val="20"/>
                <w:szCs w:val="20"/>
              </w:rPr>
              <w:t>below</w:t>
            </w:r>
            <w:r w:rsidRPr="00055F9A">
              <w:rPr>
                <w:rFonts w:ascii="Times New Roman" w:hAnsi="Times New Roman" w:cs="Times New Roman"/>
                <w:sz w:val="20"/>
                <w:szCs w:val="20"/>
              </w:rPr>
              <w:t xml:space="preserve">. Court appeared not to understand that given that this is a </w:t>
            </w:r>
            <w:r w:rsidRPr="00950154">
              <w:rPr>
                <w:rFonts w:ascii="Times New Roman" w:hAnsi="Times New Roman" w:cs="Times New Roman"/>
                <w:sz w:val="20"/>
                <w:szCs w:val="20"/>
              </w:rPr>
              <w:t xml:space="preserve">mutual pooling agreement, while the dollar amount of premiums is the same, that Reserve’s risks associated with the premiums under the quota share agreement (being a percentage of the risks associated with 650+ policies from 200+ insureds) were wholly distinct from the risks insured by PoolRe for the three Peak insureds alone under the stop loss agreements with the Peak insureds (under 11-14 policies).  The fact that the amount of premiums was the same is because this is how a mutual pooling arrangement works.  </w:t>
            </w:r>
          </w:p>
          <w:p w14:paraId="7D803BFE" w14:textId="77777777" w:rsidR="000A2139" w:rsidRDefault="000A2139" w:rsidP="00055F9A">
            <w:pPr>
              <w:ind w:left="432"/>
              <w:contextualSpacing/>
              <w:rPr>
                <w:rFonts w:ascii="Times New Roman" w:hAnsi="Times New Roman" w:cs="Times New Roman"/>
                <w:sz w:val="20"/>
                <w:szCs w:val="20"/>
              </w:rPr>
            </w:pPr>
          </w:p>
          <w:p w14:paraId="3B8A7B21" w14:textId="77777777" w:rsidR="000A2139" w:rsidRPr="00F40798" w:rsidRDefault="000A2139" w:rsidP="00A56EDA">
            <w:pPr>
              <w:contextualSpacing/>
              <w:rPr>
                <w:rFonts w:ascii="Times New Roman" w:hAnsi="Times New Roman" w:cs="Times New Roman"/>
                <w:sz w:val="20"/>
                <w:szCs w:val="20"/>
              </w:rPr>
            </w:pPr>
            <w:r>
              <w:rPr>
                <w:rFonts w:ascii="Times New Roman" w:hAnsi="Times New Roman" w:cs="Times New Roman"/>
                <w:sz w:val="20"/>
                <w:szCs w:val="20"/>
              </w:rPr>
              <w:t>2.  Lack of a</w:t>
            </w:r>
            <w:r w:rsidRPr="00F40798">
              <w:rPr>
                <w:rFonts w:ascii="Times New Roman" w:hAnsi="Times New Roman" w:cs="Times New Roman"/>
                <w:sz w:val="20"/>
                <w:szCs w:val="20"/>
              </w:rPr>
              <w:t>rm’s-length contracts</w:t>
            </w:r>
          </w:p>
          <w:p w14:paraId="4AA28491" w14:textId="77777777" w:rsidR="000A2139" w:rsidRDefault="000A2139" w:rsidP="00C82490">
            <w:pPr>
              <w:pStyle w:val="ListParagraph"/>
              <w:numPr>
                <w:ilvl w:val="0"/>
                <w:numId w:val="12"/>
              </w:numPr>
              <w:rPr>
                <w:rFonts w:ascii="Times New Roman" w:hAnsi="Times New Roman" w:cs="Times New Roman"/>
                <w:sz w:val="20"/>
                <w:szCs w:val="20"/>
              </w:rPr>
            </w:pPr>
            <w:r w:rsidRPr="00F40798">
              <w:rPr>
                <w:rFonts w:ascii="Times New Roman" w:hAnsi="Times New Roman" w:cs="Times New Roman"/>
                <w:sz w:val="20"/>
                <w:szCs w:val="20"/>
              </w:rPr>
              <w:t xml:space="preserve">Court found this factor </w:t>
            </w:r>
            <w:r>
              <w:rPr>
                <w:rFonts w:ascii="Times New Roman" w:hAnsi="Times New Roman" w:cs="Times New Roman"/>
                <w:sz w:val="20"/>
                <w:szCs w:val="20"/>
              </w:rPr>
              <w:t xml:space="preserve">absent </w:t>
            </w:r>
            <w:r w:rsidRPr="00F40798">
              <w:rPr>
                <w:rFonts w:ascii="Times New Roman" w:hAnsi="Times New Roman" w:cs="Times New Roman"/>
                <w:sz w:val="20"/>
                <w:szCs w:val="20"/>
              </w:rPr>
              <w:t xml:space="preserve">and stated that “the perfect matching of payments under the corresponding stop loss endorsements and quota share policies (from </w:t>
            </w:r>
            <w:r>
              <w:rPr>
                <w:rFonts w:ascii="Times New Roman" w:hAnsi="Times New Roman" w:cs="Times New Roman"/>
                <w:sz w:val="20"/>
                <w:szCs w:val="20"/>
              </w:rPr>
              <w:t xml:space="preserve">the Peak </w:t>
            </w:r>
            <w:r w:rsidRPr="00F40798">
              <w:rPr>
                <w:rFonts w:ascii="Times New Roman" w:hAnsi="Times New Roman" w:cs="Times New Roman"/>
                <w:sz w:val="20"/>
                <w:szCs w:val="20"/>
              </w:rPr>
              <w:t xml:space="preserve">insureds to PoolRe, and from PoolRe to </w:t>
            </w:r>
            <w:r>
              <w:rPr>
                <w:rFonts w:ascii="Times New Roman" w:hAnsi="Times New Roman" w:cs="Times New Roman"/>
                <w:sz w:val="20"/>
                <w:szCs w:val="20"/>
              </w:rPr>
              <w:t xml:space="preserve">the participating </w:t>
            </w:r>
            <w:r w:rsidRPr="00F40798">
              <w:rPr>
                <w:rFonts w:ascii="Times New Roman" w:hAnsi="Times New Roman" w:cs="Times New Roman"/>
                <w:sz w:val="20"/>
                <w:szCs w:val="20"/>
              </w:rPr>
              <w:t xml:space="preserve">captives) indicates that the quota share arrangement was not the product of arm’s-length considerations.”  </w:t>
            </w:r>
            <w:r>
              <w:rPr>
                <w:rFonts w:ascii="Times New Roman" w:hAnsi="Times New Roman" w:cs="Times New Roman"/>
                <w:sz w:val="20"/>
                <w:szCs w:val="20"/>
              </w:rPr>
              <w:t xml:space="preserve">The Court appeared to analyze the contractual relationships of the parties (PoolRe and the Peak insureds) but failed to understand them.  </w:t>
            </w:r>
            <w:r w:rsidRPr="00673166">
              <w:rPr>
                <w:rFonts w:ascii="Times New Roman" w:hAnsi="Times New Roman" w:cs="Times New Roman"/>
                <w:sz w:val="20"/>
                <w:szCs w:val="20"/>
              </w:rPr>
              <w:t xml:space="preserve">The evidence didn’t support </w:t>
            </w:r>
            <w:r>
              <w:rPr>
                <w:rFonts w:ascii="Times New Roman" w:hAnsi="Times New Roman" w:cs="Times New Roman"/>
                <w:sz w:val="20"/>
                <w:szCs w:val="20"/>
              </w:rPr>
              <w:t xml:space="preserve">the Court’s </w:t>
            </w:r>
            <w:r w:rsidRPr="00673166">
              <w:rPr>
                <w:rFonts w:ascii="Times New Roman" w:hAnsi="Times New Roman" w:cs="Times New Roman"/>
                <w:sz w:val="20"/>
                <w:szCs w:val="20"/>
              </w:rPr>
              <w:t>finding</w:t>
            </w:r>
            <w:r>
              <w:rPr>
                <w:rFonts w:ascii="Times New Roman" w:hAnsi="Times New Roman" w:cs="Times New Roman"/>
                <w:sz w:val="20"/>
                <w:szCs w:val="20"/>
              </w:rPr>
              <w:t>.</w:t>
            </w:r>
          </w:p>
          <w:p w14:paraId="14CBFC1A" w14:textId="0E3B20DD" w:rsidR="000A2139" w:rsidRPr="00E23A3C" w:rsidRDefault="000A2139" w:rsidP="00342CBC">
            <w:pPr>
              <w:pStyle w:val="ListParagraph"/>
              <w:numPr>
                <w:ilvl w:val="0"/>
                <w:numId w:val="12"/>
              </w:numPr>
              <w:rPr>
                <w:rFonts w:ascii="Times New Roman" w:hAnsi="Times New Roman" w:cs="Times New Roman"/>
                <w:sz w:val="20"/>
                <w:szCs w:val="20"/>
              </w:rPr>
            </w:pPr>
            <w:r w:rsidRPr="00BC76C5">
              <w:rPr>
                <w:rFonts w:ascii="Times New Roman" w:hAnsi="Times New Roman" w:cs="Times New Roman"/>
                <w:b/>
                <w:sz w:val="20"/>
                <w:szCs w:val="20"/>
              </w:rPr>
              <w:t xml:space="preserve">In contrast with </w:t>
            </w:r>
            <w:r w:rsidRPr="00BC76C5">
              <w:rPr>
                <w:rFonts w:ascii="Times New Roman" w:hAnsi="Times New Roman" w:cs="Times New Roman"/>
                <w:b/>
                <w:i/>
                <w:sz w:val="20"/>
                <w:szCs w:val="20"/>
              </w:rPr>
              <w:t>Avrahami</w:t>
            </w:r>
            <w:r w:rsidRPr="00BC76C5">
              <w:rPr>
                <w:rFonts w:ascii="Times New Roman" w:hAnsi="Times New Roman" w:cs="Times New Roman"/>
                <w:b/>
                <w:sz w:val="20"/>
                <w:szCs w:val="20"/>
              </w:rPr>
              <w:t>, where the pooling arrangement held little monies to pay claims, non-party PoolRe held 2</w:t>
            </w:r>
            <w:r>
              <w:rPr>
                <w:rFonts w:ascii="Times New Roman" w:hAnsi="Times New Roman" w:cs="Times New Roman"/>
                <w:b/>
                <w:sz w:val="20"/>
                <w:szCs w:val="20"/>
              </w:rPr>
              <w:t>5</w:t>
            </w:r>
            <w:r w:rsidRPr="00BC76C5">
              <w:rPr>
                <w:rFonts w:ascii="Times New Roman" w:hAnsi="Times New Roman" w:cs="Times New Roman"/>
                <w:b/>
                <w:sz w:val="20"/>
                <w:szCs w:val="20"/>
              </w:rPr>
              <w:t>% of premiums</w:t>
            </w:r>
            <w:r>
              <w:rPr>
                <w:rFonts w:ascii="Times New Roman" w:hAnsi="Times New Roman" w:cs="Times New Roman"/>
                <w:b/>
                <w:sz w:val="20"/>
                <w:szCs w:val="20"/>
              </w:rPr>
              <w:t xml:space="preserve"> (in 2010 for example)</w:t>
            </w:r>
            <w:r w:rsidRPr="00BC76C5">
              <w:rPr>
                <w:rFonts w:ascii="Times New Roman" w:hAnsi="Times New Roman" w:cs="Times New Roman"/>
                <w:b/>
                <w:sz w:val="20"/>
                <w:szCs w:val="20"/>
              </w:rPr>
              <w:t xml:space="preserve"> as retention under 6</w:t>
            </w:r>
            <w:r>
              <w:rPr>
                <w:rFonts w:ascii="Times New Roman" w:hAnsi="Times New Roman" w:cs="Times New Roman"/>
                <w:b/>
                <w:sz w:val="20"/>
                <w:szCs w:val="20"/>
              </w:rPr>
              <w:t>5</w:t>
            </w:r>
            <w:r w:rsidRPr="00BC76C5">
              <w:rPr>
                <w:rFonts w:ascii="Times New Roman" w:hAnsi="Times New Roman" w:cs="Times New Roman"/>
                <w:b/>
                <w:sz w:val="20"/>
                <w:szCs w:val="20"/>
              </w:rPr>
              <w:t>0</w:t>
            </w:r>
            <w:r>
              <w:rPr>
                <w:rFonts w:ascii="Times New Roman" w:hAnsi="Times New Roman" w:cs="Times New Roman"/>
                <w:b/>
                <w:sz w:val="20"/>
                <w:szCs w:val="20"/>
              </w:rPr>
              <w:t>+</w:t>
            </w:r>
            <w:r w:rsidRPr="00BC76C5">
              <w:rPr>
                <w:rFonts w:ascii="Times New Roman" w:hAnsi="Times New Roman" w:cs="Times New Roman"/>
                <w:b/>
                <w:sz w:val="20"/>
                <w:szCs w:val="20"/>
              </w:rPr>
              <w:t xml:space="preserve"> policies</w:t>
            </w:r>
            <w:r>
              <w:rPr>
                <w:rFonts w:ascii="Times New Roman" w:hAnsi="Times New Roman" w:cs="Times New Roman"/>
                <w:b/>
                <w:sz w:val="20"/>
                <w:szCs w:val="20"/>
              </w:rPr>
              <w:t xml:space="preserve"> and had the ability to call for additional funds</w:t>
            </w:r>
            <w:r w:rsidRPr="00BC76C5">
              <w:rPr>
                <w:rFonts w:ascii="Times New Roman" w:hAnsi="Times New Roman" w:cs="Times New Roman"/>
                <w:b/>
                <w:sz w:val="20"/>
                <w:szCs w:val="20"/>
              </w:rPr>
              <w:t xml:space="preserve">.  The Court did not understand </w:t>
            </w:r>
            <w:r>
              <w:rPr>
                <w:rFonts w:ascii="Times New Roman" w:hAnsi="Times New Roman" w:cs="Times New Roman"/>
                <w:b/>
                <w:sz w:val="20"/>
                <w:szCs w:val="20"/>
              </w:rPr>
              <w:t xml:space="preserve">the </w:t>
            </w:r>
            <w:r w:rsidRPr="00BC76C5">
              <w:rPr>
                <w:rFonts w:ascii="Times New Roman" w:hAnsi="Times New Roman" w:cs="Times New Roman"/>
                <w:b/>
                <w:sz w:val="20"/>
                <w:szCs w:val="20"/>
              </w:rPr>
              <w:t>mutual pooling arrangement.  See discussion at page</w:t>
            </w:r>
            <w:r w:rsidR="000E28BE">
              <w:rPr>
                <w:rFonts w:ascii="Times New Roman" w:hAnsi="Times New Roman" w:cs="Times New Roman"/>
                <w:b/>
                <w:sz w:val="20"/>
                <w:szCs w:val="20"/>
              </w:rPr>
              <w:t xml:space="preserve">s 23-26 </w:t>
            </w:r>
            <w:r w:rsidRPr="00BC76C5">
              <w:rPr>
                <w:rFonts w:ascii="Times New Roman" w:hAnsi="Times New Roman" w:cs="Times New Roman"/>
                <w:b/>
                <w:sz w:val="20"/>
                <w:szCs w:val="20"/>
              </w:rPr>
              <w:t>below.</w:t>
            </w:r>
          </w:p>
          <w:p w14:paraId="70933FBE" w14:textId="77777777" w:rsidR="000A2139" w:rsidRDefault="000A2139" w:rsidP="00342CBC">
            <w:pPr>
              <w:contextualSpacing/>
              <w:rPr>
                <w:rFonts w:ascii="Times New Roman" w:hAnsi="Times New Roman" w:cs="Times New Roman"/>
                <w:sz w:val="20"/>
                <w:szCs w:val="20"/>
              </w:rPr>
            </w:pPr>
          </w:p>
          <w:p w14:paraId="5C01551B" w14:textId="77777777" w:rsidR="000A2139" w:rsidRPr="00F40798" w:rsidRDefault="000A2139" w:rsidP="00A56EDA">
            <w:pPr>
              <w:ind w:left="72"/>
              <w:contextualSpacing/>
              <w:rPr>
                <w:rFonts w:ascii="Times New Roman" w:hAnsi="Times New Roman" w:cs="Times New Roman"/>
                <w:sz w:val="20"/>
                <w:szCs w:val="20"/>
              </w:rPr>
            </w:pPr>
            <w:r>
              <w:rPr>
                <w:rFonts w:ascii="Times New Roman" w:hAnsi="Times New Roman" w:cs="Times New Roman"/>
                <w:sz w:val="20"/>
                <w:szCs w:val="20"/>
              </w:rPr>
              <w:t xml:space="preserve">3.  </w:t>
            </w:r>
            <w:r w:rsidRPr="00F40798">
              <w:rPr>
                <w:rFonts w:ascii="Times New Roman" w:hAnsi="Times New Roman" w:cs="Times New Roman"/>
                <w:sz w:val="20"/>
                <w:szCs w:val="20"/>
              </w:rPr>
              <w:t>Actuarially determined premiums</w:t>
            </w:r>
          </w:p>
          <w:p w14:paraId="3A2ADB07" w14:textId="77777777" w:rsidR="000A2139" w:rsidRDefault="000A2139" w:rsidP="00134023">
            <w:pPr>
              <w:pStyle w:val="ListParagraph"/>
              <w:numPr>
                <w:ilvl w:val="0"/>
                <w:numId w:val="17"/>
              </w:numPr>
              <w:rPr>
                <w:rFonts w:ascii="Times New Roman" w:hAnsi="Times New Roman" w:cs="Times New Roman"/>
                <w:sz w:val="20"/>
                <w:szCs w:val="20"/>
              </w:rPr>
            </w:pPr>
            <w:r w:rsidRPr="00934BD9">
              <w:rPr>
                <w:rFonts w:ascii="Times New Roman" w:hAnsi="Times New Roman" w:cs="Times New Roman"/>
                <w:sz w:val="20"/>
                <w:szCs w:val="20"/>
              </w:rPr>
              <w:t>Court contradicted itself within the Opinion.  The Court concluded at p. 61 as follows:</w:t>
            </w:r>
            <w:r w:rsidRPr="00934BD9">
              <w:t xml:space="preserve"> “</w:t>
            </w:r>
            <w:r w:rsidRPr="00934BD9">
              <w:rPr>
                <w:rFonts w:ascii="Times New Roman" w:hAnsi="Times New Roman" w:cs="Times New Roman"/>
                <w:sz w:val="20"/>
                <w:szCs w:val="20"/>
              </w:rPr>
              <w:t xml:space="preserve">Capstone calculated Reserve’s premiums using objective criteria and what appear to be actuarial methods.” Yet the </w:t>
            </w:r>
            <w:r w:rsidRPr="00934BD9">
              <w:rPr>
                <w:rFonts w:ascii="Times New Roman" w:hAnsi="Times New Roman" w:cs="Times New Roman"/>
                <w:i/>
                <w:sz w:val="20"/>
                <w:szCs w:val="20"/>
              </w:rPr>
              <w:t>Reserve</w:t>
            </w:r>
            <w:r w:rsidRPr="00934BD9">
              <w:rPr>
                <w:rFonts w:ascii="Times New Roman" w:hAnsi="Times New Roman" w:cs="Times New Roman"/>
                <w:sz w:val="20"/>
                <w:szCs w:val="20"/>
              </w:rPr>
              <w:t xml:space="preserve"> Court also stated that “we are concerned with a one-size-fits-all rate for all the participants in the quota</w:t>
            </w:r>
            <w:r w:rsidRPr="00134023">
              <w:rPr>
                <w:rFonts w:ascii="Times New Roman" w:hAnsi="Times New Roman" w:cs="Times New Roman"/>
                <w:sz w:val="20"/>
                <w:szCs w:val="20"/>
              </w:rPr>
              <w:t xml:space="preserve"> share arrangement,” stating that “all participants in the quota share arrangement </w:t>
            </w:r>
            <w:r w:rsidRPr="00134023">
              <w:rPr>
                <w:rFonts w:ascii="Times New Roman" w:hAnsi="Times New Roman" w:cs="Times New Roman"/>
                <w:sz w:val="20"/>
                <w:szCs w:val="20"/>
              </w:rPr>
              <w:lastRenderedPageBreak/>
              <w:t xml:space="preserve">agreed to direct their affiliated insureds to pay the same percentage of direct written premiums to PoolRe.”  </w:t>
            </w:r>
            <w:r>
              <w:rPr>
                <w:rFonts w:ascii="Times New Roman" w:hAnsi="Times New Roman" w:cs="Times New Roman"/>
                <w:sz w:val="20"/>
                <w:szCs w:val="20"/>
              </w:rPr>
              <w:t xml:space="preserve">These statements cannot be reconciled. </w:t>
            </w:r>
          </w:p>
          <w:p w14:paraId="19217CCD" w14:textId="4FB95337" w:rsidR="000A2139" w:rsidRPr="00134023" w:rsidRDefault="000A2139" w:rsidP="00134023">
            <w:pPr>
              <w:pStyle w:val="ListParagraph"/>
              <w:numPr>
                <w:ilvl w:val="0"/>
                <w:numId w:val="17"/>
              </w:numPr>
              <w:rPr>
                <w:rFonts w:ascii="Times New Roman" w:hAnsi="Times New Roman" w:cs="Times New Roman"/>
                <w:sz w:val="20"/>
                <w:szCs w:val="20"/>
              </w:rPr>
            </w:pPr>
            <w:r w:rsidRPr="00134023">
              <w:rPr>
                <w:rFonts w:ascii="Times New Roman" w:hAnsi="Times New Roman" w:cs="Times New Roman"/>
                <w:sz w:val="20"/>
                <w:szCs w:val="20"/>
              </w:rPr>
              <w:t xml:space="preserve">In making </w:t>
            </w:r>
            <w:r>
              <w:rPr>
                <w:rFonts w:ascii="Times New Roman" w:hAnsi="Times New Roman" w:cs="Times New Roman"/>
                <w:sz w:val="20"/>
                <w:szCs w:val="20"/>
              </w:rPr>
              <w:t xml:space="preserve">the “one size fits all” </w:t>
            </w:r>
            <w:r w:rsidRPr="00134023">
              <w:rPr>
                <w:rFonts w:ascii="Times New Roman" w:hAnsi="Times New Roman" w:cs="Times New Roman"/>
                <w:sz w:val="20"/>
                <w:szCs w:val="20"/>
              </w:rPr>
              <w:t>assertion the Court ignored the</w:t>
            </w:r>
            <w:r>
              <w:rPr>
                <w:rFonts w:ascii="Times New Roman" w:hAnsi="Times New Roman" w:cs="Times New Roman"/>
                <w:sz w:val="20"/>
                <w:szCs w:val="20"/>
              </w:rPr>
              <w:t xml:space="preserve"> </w:t>
            </w:r>
            <w:r w:rsidRPr="00134023">
              <w:rPr>
                <w:rFonts w:ascii="Times New Roman" w:hAnsi="Times New Roman" w:cs="Times New Roman"/>
                <w:sz w:val="20"/>
                <w:szCs w:val="20"/>
              </w:rPr>
              <w:t xml:space="preserve">proof as to the proper pricing of all policies – being both the pooling arrangement </w:t>
            </w:r>
            <w:r>
              <w:rPr>
                <w:rFonts w:ascii="Times New Roman" w:hAnsi="Times New Roman" w:cs="Times New Roman"/>
                <w:sz w:val="20"/>
                <w:szCs w:val="20"/>
              </w:rPr>
              <w:t xml:space="preserve">(all aspects of such) </w:t>
            </w:r>
            <w:r w:rsidRPr="00134023">
              <w:rPr>
                <w:rFonts w:ascii="Times New Roman" w:hAnsi="Times New Roman" w:cs="Times New Roman"/>
                <w:sz w:val="20"/>
                <w:szCs w:val="20"/>
              </w:rPr>
              <w:t>and Peak insureds</w:t>
            </w:r>
            <w:r>
              <w:rPr>
                <w:rFonts w:ascii="Times New Roman" w:hAnsi="Times New Roman" w:cs="Times New Roman"/>
                <w:sz w:val="20"/>
                <w:szCs w:val="20"/>
              </w:rPr>
              <w:t>’</w:t>
            </w:r>
            <w:r w:rsidRPr="00134023">
              <w:rPr>
                <w:rFonts w:ascii="Times New Roman" w:hAnsi="Times New Roman" w:cs="Times New Roman"/>
                <w:sz w:val="20"/>
                <w:szCs w:val="20"/>
              </w:rPr>
              <w:t xml:space="preserve"> policies with Reserve</w:t>
            </w:r>
            <w:r>
              <w:rPr>
                <w:rFonts w:ascii="Times New Roman" w:hAnsi="Times New Roman" w:cs="Times New Roman"/>
                <w:sz w:val="20"/>
                <w:szCs w:val="20"/>
              </w:rPr>
              <w:t>, with the IRS offering no contrary evidence regarding the pricing of Reserve’s policies</w:t>
            </w:r>
            <w:r w:rsidRPr="00134023">
              <w:rPr>
                <w:rFonts w:ascii="Times New Roman" w:hAnsi="Times New Roman" w:cs="Times New Roman"/>
                <w:sz w:val="20"/>
                <w:szCs w:val="20"/>
              </w:rPr>
              <w:t xml:space="preserve">. </w:t>
            </w:r>
            <w:r>
              <w:rPr>
                <w:rFonts w:ascii="Times New Roman" w:hAnsi="Times New Roman" w:cs="Times New Roman"/>
                <w:sz w:val="20"/>
                <w:szCs w:val="20"/>
              </w:rPr>
              <w:t xml:space="preserve"> </w:t>
            </w:r>
            <w:r w:rsidRPr="00F40798">
              <w:rPr>
                <w:rFonts w:ascii="Times New Roman" w:hAnsi="Times New Roman" w:cs="Times New Roman"/>
                <w:b/>
                <w:sz w:val="20"/>
                <w:szCs w:val="20"/>
              </w:rPr>
              <w:t>The evidence did not support this finding.  See discussion at pag</w:t>
            </w:r>
            <w:r w:rsidR="00A45F41">
              <w:rPr>
                <w:rFonts w:ascii="Times New Roman" w:hAnsi="Times New Roman" w:cs="Times New Roman"/>
                <w:b/>
                <w:sz w:val="20"/>
                <w:szCs w:val="20"/>
              </w:rPr>
              <w:t xml:space="preserve">es 26-29 </w:t>
            </w:r>
            <w:r w:rsidRPr="00F40798">
              <w:rPr>
                <w:rFonts w:ascii="Times New Roman" w:hAnsi="Times New Roman" w:cs="Times New Roman"/>
                <w:b/>
                <w:sz w:val="20"/>
                <w:szCs w:val="20"/>
              </w:rPr>
              <w:t>below.</w:t>
            </w:r>
          </w:p>
          <w:p w14:paraId="34BD9579" w14:textId="77777777" w:rsidR="000A2139" w:rsidRPr="006F36B6" w:rsidRDefault="000A2139" w:rsidP="006F36B6">
            <w:pPr>
              <w:pStyle w:val="ListParagraph"/>
              <w:numPr>
                <w:ilvl w:val="0"/>
                <w:numId w:val="17"/>
              </w:numPr>
              <w:rPr>
                <w:rFonts w:ascii="Times New Roman" w:hAnsi="Times New Roman" w:cs="Times New Roman"/>
                <w:sz w:val="20"/>
                <w:szCs w:val="20"/>
              </w:rPr>
            </w:pPr>
            <w:r>
              <w:rPr>
                <w:rFonts w:ascii="Times New Roman" w:hAnsi="Times New Roman" w:cs="Times New Roman"/>
                <w:sz w:val="20"/>
                <w:szCs w:val="20"/>
              </w:rPr>
              <w:t xml:space="preserve">The Court seemed confused about the relationship among the parties, perhaps because the Court in its Opinion tried to adjudicate issues not in controversy at the trial.  The Peak insureds bought actuarially priced policies from their affiliated captives and paid an actuarially determined portion of the overall premium to PoolRe for a stop loss endorsement.  </w:t>
            </w:r>
          </w:p>
          <w:p w14:paraId="681C03FE" w14:textId="77777777" w:rsidR="000A2139" w:rsidRPr="005839FB" w:rsidRDefault="000A2139" w:rsidP="005839FB">
            <w:pPr>
              <w:pStyle w:val="ListParagraph"/>
              <w:numPr>
                <w:ilvl w:val="0"/>
                <w:numId w:val="17"/>
              </w:numPr>
              <w:rPr>
                <w:rFonts w:ascii="Times New Roman" w:hAnsi="Times New Roman" w:cs="Times New Roman"/>
                <w:sz w:val="20"/>
                <w:szCs w:val="20"/>
              </w:rPr>
            </w:pPr>
            <w:r w:rsidRPr="005839FB">
              <w:rPr>
                <w:rFonts w:ascii="Times New Roman" w:hAnsi="Times New Roman" w:cs="Times New Roman"/>
                <w:sz w:val="20"/>
                <w:szCs w:val="20"/>
              </w:rPr>
              <w:t>After homogenizing and blending premiums</w:t>
            </w:r>
            <w:r>
              <w:rPr>
                <w:rFonts w:ascii="Times New Roman" w:hAnsi="Times New Roman" w:cs="Times New Roman"/>
                <w:sz w:val="20"/>
                <w:szCs w:val="20"/>
              </w:rPr>
              <w:t xml:space="preserve"> and associated risks</w:t>
            </w:r>
            <w:r w:rsidRPr="005839FB">
              <w:rPr>
                <w:rFonts w:ascii="Times New Roman" w:hAnsi="Times New Roman" w:cs="Times New Roman"/>
                <w:sz w:val="20"/>
                <w:szCs w:val="20"/>
              </w:rPr>
              <w:t xml:space="preserve"> </w:t>
            </w:r>
            <w:r>
              <w:rPr>
                <w:rFonts w:ascii="Times New Roman" w:hAnsi="Times New Roman" w:cs="Times New Roman"/>
                <w:sz w:val="20"/>
                <w:szCs w:val="20"/>
              </w:rPr>
              <w:t>for 650+</w:t>
            </w:r>
            <w:r w:rsidRPr="005839FB">
              <w:rPr>
                <w:rFonts w:ascii="Times New Roman" w:hAnsi="Times New Roman" w:cs="Times New Roman"/>
                <w:sz w:val="20"/>
                <w:szCs w:val="20"/>
              </w:rPr>
              <w:t xml:space="preserve"> policies from 200+ insureds, PoolRe then ceded these premiums along with the Lyndon insurance to 58 separate and distinct insurers, including Reserve.</w:t>
            </w:r>
          </w:p>
          <w:p w14:paraId="15D21A97" w14:textId="77777777" w:rsidR="000A2139" w:rsidRDefault="000A2139" w:rsidP="006F36B6">
            <w:pPr>
              <w:contextualSpacing/>
              <w:rPr>
                <w:rFonts w:ascii="Times New Roman" w:hAnsi="Times New Roman" w:cs="Times New Roman"/>
                <w:sz w:val="20"/>
                <w:szCs w:val="20"/>
              </w:rPr>
            </w:pPr>
          </w:p>
          <w:p w14:paraId="3852DB3D" w14:textId="77777777" w:rsidR="000A2139" w:rsidRPr="00F40798" w:rsidRDefault="000A2139" w:rsidP="006F36B6">
            <w:pPr>
              <w:contextualSpacing/>
              <w:rPr>
                <w:rFonts w:ascii="Times New Roman" w:hAnsi="Times New Roman" w:cs="Times New Roman"/>
                <w:sz w:val="20"/>
                <w:szCs w:val="20"/>
              </w:rPr>
            </w:pPr>
            <w:r>
              <w:rPr>
                <w:rFonts w:ascii="Times New Roman" w:hAnsi="Times New Roman" w:cs="Times New Roman"/>
                <w:sz w:val="20"/>
                <w:szCs w:val="20"/>
              </w:rPr>
              <w:t xml:space="preserve">4.  </w:t>
            </w:r>
            <w:r w:rsidRPr="00F40798">
              <w:rPr>
                <w:rFonts w:ascii="Times New Roman" w:hAnsi="Times New Roman" w:cs="Times New Roman"/>
                <w:sz w:val="20"/>
                <w:szCs w:val="20"/>
              </w:rPr>
              <w:t>Faced actual and insurable risk</w:t>
            </w:r>
          </w:p>
          <w:p w14:paraId="5DB17878" w14:textId="5D2439E3" w:rsidR="000A2139" w:rsidRPr="0054661F" w:rsidRDefault="000A2139">
            <w:pPr>
              <w:pStyle w:val="ListParagraph"/>
              <w:numPr>
                <w:ilvl w:val="0"/>
                <w:numId w:val="25"/>
              </w:numPr>
              <w:rPr>
                <w:rFonts w:ascii="Times New Roman" w:hAnsi="Times New Roman" w:cs="Times New Roman"/>
                <w:sz w:val="20"/>
                <w:szCs w:val="20"/>
              </w:rPr>
            </w:pPr>
            <w:r w:rsidRPr="00F40798">
              <w:rPr>
                <w:rFonts w:ascii="Times New Roman" w:hAnsi="Times New Roman" w:cs="Times New Roman"/>
                <w:sz w:val="20"/>
                <w:szCs w:val="20"/>
              </w:rPr>
              <w:t xml:space="preserve">Court </w:t>
            </w:r>
            <w:r>
              <w:rPr>
                <w:rFonts w:ascii="Times New Roman" w:hAnsi="Times New Roman" w:cs="Times New Roman"/>
                <w:sz w:val="20"/>
                <w:szCs w:val="20"/>
              </w:rPr>
              <w:t xml:space="preserve">created a new standard eliminating the heretofore “fortuitous risk of loss” concept replacing it with a requisite of a history of losses and the exhaustion of all other (even unrelated insurance) policy limits as a condition of finding the existence of “insurance”.  </w:t>
            </w:r>
            <w:r w:rsidRPr="00F40798">
              <w:rPr>
                <w:rFonts w:ascii="Times New Roman" w:hAnsi="Times New Roman" w:cs="Times New Roman"/>
                <w:b/>
                <w:sz w:val="20"/>
                <w:szCs w:val="20"/>
              </w:rPr>
              <w:t>The evidence did not support this finding.  See discussion at page</w:t>
            </w:r>
            <w:r w:rsidR="00DF7021">
              <w:rPr>
                <w:rFonts w:ascii="Times New Roman" w:hAnsi="Times New Roman" w:cs="Times New Roman"/>
                <w:b/>
                <w:sz w:val="20"/>
                <w:szCs w:val="20"/>
              </w:rPr>
              <w:t>s 29-3</w:t>
            </w:r>
            <w:r w:rsidR="00807310">
              <w:rPr>
                <w:rFonts w:ascii="Times New Roman" w:hAnsi="Times New Roman" w:cs="Times New Roman"/>
                <w:b/>
                <w:sz w:val="20"/>
                <w:szCs w:val="20"/>
              </w:rPr>
              <w:t>1</w:t>
            </w:r>
            <w:r w:rsidR="00DF7021">
              <w:rPr>
                <w:rFonts w:ascii="Times New Roman" w:hAnsi="Times New Roman" w:cs="Times New Roman"/>
                <w:b/>
                <w:sz w:val="20"/>
                <w:szCs w:val="20"/>
              </w:rPr>
              <w:t xml:space="preserve"> </w:t>
            </w:r>
            <w:r w:rsidRPr="00F40798">
              <w:rPr>
                <w:rFonts w:ascii="Times New Roman" w:hAnsi="Times New Roman" w:cs="Times New Roman"/>
                <w:b/>
                <w:sz w:val="20"/>
                <w:szCs w:val="20"/>
              </w:rPr>
              <w:t>below.</w:t>
            </w:r>
          </w:p>
          <w:p w14:paraId="7C676E1B" w14:textId="77777777" w:rsidR="000A2139" w:rsidRPr="00F0214F" w:rsidRDefault="000A2139" w:rsidP="0054661F">
            <w:pPr>
              <w:ind w:left="432"/>
              <w:rPr>
                <w:rFonts w:ascii="Times New Roman" w:hAnsi="Times New Roman" w:cs="Times New Roman"/>
                <w:sz w:val="20"/>
                <w:szCs w:val="20"/>
              </w:rPr>
            </w:pPr>
          </w:p>
          <w:p w14:paraId="26F7EBD6" w14:textId="77777777" w:rsidR="000A2139" w:rsidRPr="00F0214F" w:rsidRDefault="000A2139" w:rsidP="00F0214F">
            <w:pPr>
              <w:contextualSpacing/>
              <w:rPr>
                <w:rFonts w:ascii="Times New Roman" w:hAnsi="Times New Roman" w:cs="Times New Roman"/>
                <w:sz w:val="20"/>
                <w:szCs w:val="20"/>
              </w:rPr>
            </w:pPr>
            <w:r w:rsidRPr="00F0214F">
              <w:rPr>
                <w:rFonts w:ascii="Times New Roman" w:hAnsi="Times New Roman" w:cs="Times New Roman"/>
                <w:sz w:val="20"/>
                <w:szCs w:val="20"/>
              </w:rPr>
              <w:t>5.  Licensed and regulated as an insurance company</w:t>
            </w:r>
          </w:p>
          <w:p w14:paraId="101F251F" w14:textId="3C43462F" w:rsidR="000A2139" w:rsidRPr="00F0214F" w:rsidRDefault="000A2139" w:rsidP="00C82490">
            <w:pPr>
              <w:pStyle w:val="ListParagraph"/>
              <w:numPr>
                <w:ilvl w:val="0"/>
                <w:numId w:val="27"/>
              </w:numPr>
              <w:rPr>
                <w:rFonts w:ascii="Times New Roman" w:hAnsi="Times New Roman" w:cs="Times New Roman"/>
                <w:sz w:val="20"/>
                <w:szCs w:val="20"/>
              </w:rPr>
            </w:pPr>
            <w:r w:rsidRPr="00F0214F">
              <w:rPr>
                <w:rFonts w:ascii="Times New Roman" w:hAnsi="Times New Roman" w:cs="Times New Roman"/>
                <w:sz w:val="20"/>
                <w:szCs w:val="20"/>
              </w:rPr>
              <w:t>Court ignored affirmativ</w:t>
            </w:r>
            <w:r>
              <w:rPr>
                <w:rFonts w:ascii="Times New Roman" w:hAnsi="Times New Roman" w:cs="Times New Roman"/>
                <w:sz w:val="20"/>
                <w:szCs w:val="20"/>
              </w:rPr>
              <w:t xml:space="preserve">e </w:t>
            </w:r>
            <w:r w:rsidRPr="00F0214F">
              <w:rPr>
                <w:rFonts w:ascii="Times New Roman" w:hAnsi="Times New Roman" w:cs="Times New Roman"/>
                <w:sz w:val="20"/>
                <w:szCs w:val="20"/>
              </w:rPr>
              <w:t>evidence before it, which was not even objected to by the government, in concluding that PoolRe was not a licensed and regulated insurer in 2008-2009.</w:t>
            </w:r>
            <w:r w:rsidR="00DD611E">
              <w:rPr>
                <w:rFonts w:ascii="Times New Roman" w:hAnsi="Times New Roman" w:cs="Times New Roman"/>
                <w:sz w:val="20"/>
                <w:szCs w:val="20"/>
              </w:rPr>
              <w:t xml:space="preserve">  </w:t>
            </w:r>
            <w:r w:rsidRPr="00F0214F">
              <w:rPr>
                <w:rFonts w:ascii="Times New Roman" w:hAnsi="Times New Roman" w:cs="Times New Roman"/>
                <w:b/>
                <w:sz w:val="20"/>
                <w:szCs w:val="20"/>
              </w:rPr>
              <w:t>The evidence did not support this finding.  See discussion at page</w:t>
            </w:r>
            <w:r w:rsidR="00DF7021">
              <w:rPr>
                <w:rFonts w:ascii="Times New Roman" w:hAnsi="Times New Roman" w:cs="Times New Roman"/>
                <w:b/>
                <w:sz w:val="20"/>
                <w:szCs w:val="20"/>
              </w:rPr>
              <w:t xml:space="preserve"> 30</w:t>
            </w:r>
            <w:r w:rsidR="00D11887">
              <w:rPr>
                <w:rFonts w:ascii="Times New Roman" w:hAnsi="Times New Roman" w:cs="Times New Roman"/>
                <w:b/>
                <w:sz w:val="20"/>
                <w:szCs w:val="20"/>
              </w:rPr>
              <w:t xml:space="preserve"> </w:t>
            </w:r>
            <w:r w:rsidRPr="00F0214F">
              <w:rPr>
                <w:rFonts w:ascii="Times New Roman" w:hAnsi="Times New Roman" w:cs="Times New Roman"/>
                <w:b/>
                <w:sz w:val="20"/>
                <w:szCs w:val="20"/>
              </w:rPr>
              <w:t>below.</w:t>
            </w:r>
          </w:p>
          <w:p w14:paraId="15DFC877" w14:textId="77777777" w:rsidR="000A2139" w:rsidRDefault="000A2139" w:rsidP="00F0214F">
            <w:pPr>
              <w:ind w:left="432"/>
              <w:rPr>
                <w:rFonts w:ascii="Times New Roman" w:hAnsi="Times New Roman" w:cs="Times New Roman"/>
                <w:sz w:val="20"/>
                <w:szCs w:val="20"/>
              </w:rPr>
            </w:pPr>
          </w:p>
          <w:p w14:paraId="451A4B88" w14:textId="77777777" w:rsidR="000A2139" w:rsidRPr="00F40798" w:rsidRDefault="000A2139" w:rsidP="00F0214F">
            <w:pPr>
              <w:contextualSpacing/>
              <w:rPr>
                <w:rFonts w:ascii="Times New Roman" w:hAnsi="Times New Roman" w:cs="Times New Roman"/>
                <w:sz w:val="20"/>
                <w:szCs w:val="20"/>
              </w:rPr>
            </w:pPr>
            <w:r>
              <w:rPr>
                <w:rFonts w:ascii="Times New Roman" w:hAnsi="Times New Roman" w:cs="Times New Roman"/>
                <w:sz w:val="20"/>
                <w:szCs w:val="20"/>
              </w:rPr>
              <w:t xml:space="preserve">6.  </w:t>
            </w:r>
            <w:r w:rsidRPr="00F40798">
              <w:rPr>
                <w:rFonts w:ascii="Times New Roman" w:hAnsi="Times New Roman" w:cs="Times New Roman"/>
                <w:sz w:val="20"/>
                <w:szCs w:val="20"/>
              </w:rPr>
              <w:t>Created for legitimate nontax reasons</w:t>
            </w:r>
          </w:p>
          <w:p w14:paraId="1CD07321" w14:textId="1B0F4931" w:rsidR="000A2139" w:rsidRDefault="000A2139" w:rsidP="00C82490">
            <w:pPr>
              <w:pStyle w:val="ListParagraph"/>
              <w:numPr>
                <w:ilvl w:val="0"/>
                <w:numId w:val="29"/>
              </w:numPr>
              <w:rPr>
                <w:rFonts w:ascii="Times New Roman" w:hAnsi="Times New Roman" w:cs="Times New Roman"/>
                <w:b/>
                <w:sz w:val="20"/>
                <w:szCs w:val="20"/>
              </w:rPr>
            </w:pPr>
            <w:r w:rsidRPr="00F40798">
              <w:rPr>
                <w:rFonts w:ascii="Times New Roman" w:hAnsi="Times New Roman" w:cs="Times New Roman"/>
                <w:sz w:val="20"/>
                <w:szCs w:val="20"/>
              </w:rPr>
              <w:t xml:space="preserve">Court improperly concluded that “the only purpose PoolRe served through the quota share arrangement was to shift income from Peak to Reserve.” </w:t>
            </w:r>
            <w:r>
              <w:rPr>
                <w:rFonts w:ascii="Times New Roman" w:hAnsi="Times New Roman" w:cs="Times New Roman"/>
                <w:sz w:val="20"/>
                <w:szCs w:val="20"/>
              </w:rPr>
              <w:t xml:space="preserve"> In doing so, the Court ignored: (i) the payment </w:t>
            </w:r>
            <w:r w:rsidRPr="002A5AA1">
              <w:rPr>
                <w:rFonts w:ascii="Times New Roman" w:hAnsi="Times New Roman" w:cs="Times New Roman"/>
                <w:sz w:val="20"/>
                <w:szCs w:val="20"/>
              </w:rPr>
              <w:t xml:space="preserve">of losses by Reserve of $339,820 to its affiliated insureds and an additional $187,891.99 payment </w:t>
            </w:r>
            <w:r>
              <w:rPr>
                <w:rFonts w:ascii="Times New Roman" w:hAnsi="Times New Roman" w:cs="Times New Roman"/>
                <w:sz w:val="20"/>
                <w:szCs w:val="20"/>
              </w:rPr>
              <w:t xml:space="preserve">of losses </w:t>
            </w:r>
            <w:r w:rsidRPr="002A5AA1">
              <w:rPr>
                <w:rFonts w:ascii="Times New Roman" w:hAnsi="Times New Roman" w:cs="Times New Roman"/>
                <w:sz w:val="20"/>
                <w:szCs w:val="20"/>
              </w:rPr>
              <w:t xml:space="preserve">to third parties (totaling $527,711.99) during the three tax years; and (ii) the separate corporate existence and vastly different </w:t>
            </w:r>
            <w:r w:rsidRPr="002A5AA1">
              <w:rPr>
                <w:rFonts w:ascii="Times New Roman" w:hAnsi="Times New Roman" w:cs="Times New Roman"/>
                <w:sz w:val="20"/>
                <w:szCs w:val="20"/>
              </w:rPr>
              <w:lastRenderedPageBreak/>
              <w:t xml:space="preserve">contractual obligations of PoolRe.  The </w:t>
            </w:r>
            <w:r w:rsidRPr="002A5AA1">
              <w:rPr>
                <w:rFonts w:ascii="Times New Roman" w:hAnsi="Times New Roman" w:cs="Times New Roman"/>
                <w:b/>
                <w:sz w:val="20"/>
                <w:szCs w:val="20"/>
              </w:rPr>
              <w:t>Court was clearly erroneous in reaching this unsupported</w:t>
            </w:r>
            <w:r>
              <w:rPr>
                <w:rFonts w:ascii="Times New Roman" w:hAnsi="Times New Roman" w:cs="Times New Roman"/>
                <w:b/>
                <w:sz w:val="20"/>
                <w:szCs w:val="20"/>
              </w:rPr>
              <w:t xml:space="preserve"> conclusion.  </w:t>
            </w:r>
            <w:r w:rsidRPr="00F40798">
              <w:rPr>
                <w:rFonts w:ascii="Times New Roman" w:hAnsi="Times New Roman" w:cs="Times New Roman"/>
                <w:b/>
                <w:sz w:val="20"/>
                <w:szCs w:val="20"/>
              </w:rPr>
              <w:t>See discussion at page</w:t>
            </w:r>
            <w:r w:rsidR="006915EA">
              <w:rPr>
                <w:rFonts w:ascii="Times New Roman" w:hAnsi="Times New Roman" w:cs="Times New Roman"/>
                <w:b/>
                <w:sz w:val="20"/>
                <w:szCs w:val="20"/>
              </w:rPr>
              <w:t>s 31-3</w:t>
            </w:r>
            <w:r w:rsidR="00D11887">
              <w:rPr>
                <w:rFonts w:ascii="Times New Roman" w:hAnsi="Times New Roman" w:cs="Times New Roman"/>
                <w:b/>
                <w:sz w:val="20"/>
                <w:szCs w:val="20"/>
              </w:rPr>
              <w:t>3</w:t>
            </w:r>
            <w:r w:rsidR="006915EA">
              <w:rPr>
                <w:rFonts w:ascii="Times New Roman" w:hAnsi="Times New Roman" w:cs="Times New Roman"/>
                <w:b/>
                <w:sz w:val="20"/>
                <w:szCs w:val="20"/>
              </w:rPr>
              <w:t xml:space="preserve"> </w:t>
            </w:r>
            <w:r w:rsidRPr="00F40798">
              <w:rPr>
                <w:rFonts w:ascii="Times New Roman" w:hAnsi="Times New Roman" w:cs="Times New Roman"/>
                <w:b/>
                <w:sz w:val="20"/>
                <w:szCs w:val="20"/>
              </w:rPr>
              <w:t>below.</w:t>
            </w:r>
          </w:p>
          <w:p w14:paraId="59DE71CD" w14:textId="77777777" w:rsidR="00380F89" w:rsidRDefault="00380F89" w:rsidP="00741723">
            <w:pPr>
              <w:rPr>
                <w:rFonts w:ascii="Times New Roman" w:hAnsi="Times New Roman" w:cs="Times New Roman"/>
                <w:b/>
                <w:sz w:val="20"/>
                <w:szCs w:val="20"/>
              </w:rPr>
            </w:pPr>
          </w:p>
          <w:p w14:paraId="425C1391" w14:textId="04FFB092" w:rsidR="000A2139" w:rsidRPr="00C55A13" w:rsidRDefault="000A2139" w:rsidP="00C55A13">
            <w:pPr>
              <w:numPr>
                <w:ilvl w:val="0"/>
                <w:numId w:val="28"/>
              </w:numPr>
              <w:contextualSpacing/>
              <w:rPr>
                <w:rFonts w:ascii="Times New Roman" w:hAnsi="Times New Roman" w:cs="Times New Roman"/>
                <w:sz w:val="20"/>
                <w:szCs w:val="20"/>
              </w:rPr>
            </w:pPr>
            <w:r w:rsidRPr="00DF4200">
              <w:rPr>
                <w:rFonts w:ascii="Times New Roman" w:hAnsi="Times New Roman" w:cs="Times New Roman"/>
                <w:b/>
                <w:sz w:val="20"/>
                <w:szCs w:val="20"/>
                <w:u w:val="single"/>
              </w:rPr>
              <w:t>Conclusion</w:t>
            </w:r>
            <w:r w:rsidRPr="00DF4200">
              <w:rPr>
                <w:rFonts w:ascii="Times New Roman" w:hAnsi="Times New Roman" w:cs="Times New Roman"/>
                <w:sz w:val="20"/>
                <w:szCs w:val="20"/>
              </w:rPr>
              <w:t xml:space="preserve">: Court found that PoolRe pooling arrangement was not a bona fide insurance company, that Reserve’s quota share reinsurance policies with PoolRe were not bona fide insurance agreements and that the “purported” </w:t>
            </w:r>
            <w:r>
              <w:rPr>
                <w:rFonts w:ascii="Times New Roman" w:hAnsi="Times New Roman" w:cs="Times New Roman"/>
                <w:sz w:val="20"/>
                <w:szCs w:val="20"/>
              </w:rPr>
              <w:t>re</w:t>
            </w:r>
            <w:r w:rsidRPr="00DF4200">
              <w:rPr>
                <w:rFonts w:ascii="Times New Roman" w:hAnsi="Times New Roman" w:cs="Times New Roman"/>
                <w:sz w:val="20"/>
                <w:szCs w:val="20"/>
              </w:rPr>
              <w:t>insurance agreements between PoolRe and Reserve did not allow Reserve to effectively distribute risk.</w:t>
            </w:r>
            <w:r w:rsidRPr="00F40798">
              <w:rPr>
                <w:rFonts w:ascii="Times New Roman" w:hAnsi="Times New Roman" w:cs="Times New Roman"/>
                <w:sz w:val="20"/>
                <w:szCs w:val="20"/>
                <w:vertAlign w:val="superscript"/>
              </w:rPr>
              <w:endnoteReference w:id="19"/>
            </w:r>
          </w:p>
        </w:tc>
      </w:tr>
    </w:tbl>
    <w:p w14:paraId="44D475A8" w14:textId="77777777" w:rsidR="00F93C3F" w:rsidRDefault="00F93C3F" w:rsidP="003B2299">
      <w:pPr>
        <w:pStyle w:val="Heading2"/>
        <w:spacing w:before="0" w:line="240" w:lineRule="auto"/>
        <w:rPr>
          <w:rFonts w:ascii="Times New Roman" w:hAnsi="Times New Roman" w:cs="Times New Roman"/>
          <w:b/>
          <w:color w:val="auto"/>
          <w:sz w:val="24"/>
          <w:szCs w:val="24"/>
        </w:rPr>
      </w:pPr>
      <w:bookmarkStart w:id="11" w:name="_Toc534366167"/>
    </w:p>
    <w:p w14:paraId="5C029137" w14:textId="0E5A9A0C" w:rsidR="000A2139" w:rsidRPr="003B2299" w:rsidRDefault="000A2139" w:rsidP="003B2299">
      <w:pPr>
        <w:pStyle w:val="Heading2"/>
        <w:spacing w:before="0" w:line="240" w:lineRule="auto"/>
        <w:rPr>
          <w:rFonts w:ascii="Times New Roman" w:hAnsi="Times New Roman" w:cs="Times New Roman"/>
          <w:b/>
          <w:color w:val="auto"/>
          <w:sz w:val="24"/>
          <w:szCs w:val="24"/>
        </w:rPr>
      </w:pPr>
      <w:r w:rsidRPr="003B2299">
        <w:rPr>
          <w:rFonts w:ascii="Times New Roman" w:hAnsi="Times New Roman" w:cs="Times New Roman"/>
          <w:b/>
          <w:color w:val="auto"/>
          <w:sz w:val="24"/>
          <w:szCs w:val="24"/>
        </w:rPr>
        <w:t>B.  Insurance in the Commonly Accepted Sense</w:t>
      </w:r>
      <w:bookmarkEnd w:id="11"/>
    </w:p>
    <w:p w14:paraId="2971AA59" w14:textId="77777777" w:rsidR="000A2139" w:rsidRPr="003B2299" w:rsidRDefault="000A2139" w:rsidP="003B2299">
      <w:pPr>
        <w:pStyle w:val="Heading2"/>
        <w:spacing w:before="0" w:line="240" w:lineRule="auto"/>
        <w:rPr>
          <w:rFonts w:ascii="Times New Roman" w:hAnsi="Times New Roman" w:cs="Times New Roman"/>
          <w:color w:val="auto"/>
          <w:sz w:val="24"/>
          <w:szCs w:val="24"/>
        </w:rPr>
      </w:pPr>
    </w:p>
    <w:tbl>
      <w:tblPr>
        <w:tblStyle w:val="TableGrid1"/>
        <w:tblW w:w="0" w:type="auto"/>
        <w:tblLook w:val="04A0" w:firstRow="1" w:lastRow="0" w:firstColumn="1" w:lastColumn="0" w:noHBand="0" w:noVBand="1"/>
      </w:tblPr>
      <w:tblGrid>
        <w:gridCol w:w="4675"/>
        <w:gridCol w:w="4675"/>
      </w:tblGrid>
      <w:tr w:rsidR="000A2139" w:rsidRPr="00CF4DC2" w14:paraId="30E38C46" w14:textId="77777777" w:rsidTr="00BE38BF">
        <w:trPr>
          <w:tblHeader/>
        </w:trPr>
        <w:tc>
          <w:tcPr>
            <w:tcW w:w="4675" w:type="dxa"/>
          </w:tcPr>
          <w:p w14:paraId="6989D9B9" w14:textId="77777777" w:rsidR="000A2139" w:rsidRPr="00CF4DC2" w:rsidRDefault="000A2139" w:rsidP="00CF4DC2">
            <w:pPr>
              <w:rPr>
                <w:rFonts w:ascii="Times New Roman" w:hAnsi="Times New Roman" w:cs="Times New Roman"/>
                <w:b/>
                <w:i/>
                <w:sz w:val="24"/>
                <w:szCs w:val="24"/>
              </w:rPr>
            </w:pPr>
            <w:bookmarkStart w:id="12" w:name="_Hlk525124625"/>
            <w:r w:rsidRPr="00CF4DC2">
              <w:rPr>
                <w:rFonts w:ascii="Times New Roman" w:hAnsi="Times New Roman" w:cs="Times New Roman"/>
                <w:b/>
                <w:i/>
                <w:sz w:val="24"/>
                <w:szCs w:val="24"/>
              </w:rPr>
              <w:t>Avrahami</w:t>
            </w:r>
          </w:p>
          <w:p w14:paraId="687279E0" w14:textId="77777777" w:rsidR="000A2139" w:rsidRPr="00CF4DC2" w:rsidRDefault="000A2139" w:rsidP="00CF4DC2">
            <w:pPr>
              <w:rPr>
                <w:rFonts w:ascii="Times New Roman" w:hAnsi="Times New Roman" w:cs="Times New Roman"/>
                <w:sz w:val="24"/>
                <w:szCs w:val="24"/>
                <w:u w:val="single"/>
              </w:rPr>
            </w:pPr>
          </w:p>
        </w:tc>
        <w:tc>
          <w:tcPr>
            <w:tcW w:w="4675" w:type="dxa"/>
          </w:tcPr>
          <w:p w14:paraId="0ABA8741" w14:textId="77777777" w:rsidR="000A2139" w:rsidRPr="00CF4DC2" w:rsidRDefault="000A2139" w:rsidP="00CF4DC2">
            <w:pPr>
              <w:rPr>
                <w:rFonts w:ascii="Times New Roman" w:hAnsi="Times New Roman" w:cs="Times New Roman"/>
                <w:sz w:val="24"/>
                <w:szCs w:val="24"/>
                <w:u w:val="single"/>
              </w:rPr>
            </w:pPr>
            <w:r w:rsidRPr="00CF4DC2">
              <w:rPr>
                <w:rFonts w:ascii="Times New Roman" w:hAnsi="Times New Roman" w:cs="Times New Roman"/>
                <w:b/>
                <w:i/>
                <w:sz w:val="24"/>
                <w:szCs w:val="24"/>
              </w:rPr>
              <w:t>Reserve</w:t>
            </w:r>
          </w:p>
        </w:tc>
      </w:tr>
      <w:bookmarkEnd w:id="12"/>
      <w:tr w:rsidR="000A2139" w:rsidRPr="00CF4DC2" w14:paraId="21227B9D" w14:textId="77777777" w:rsidTr="009555AD">
        <w:tc>
          <w:tcPr>
            <w:tcW w:w="4675" w:type="dxa"/>
          </w:tcPr>
          <w:p w14:paraId="24893418" w14:textId="77777777" w:rsidR="000A2139" w:rsidRPr="003D1041" w:rsidRDefault="000A2139" w:rsidP="00CF4DC2">
            <w:pPr>
              <w:rPr>
                <w:rFonts w:ascii="Times New Roman" w:hAnsi="Times New Roman" w:cs="Times New Roman"/>
                <w:sz w:val="20"/>
                <w:szCs w:val="20"/>
                <w:u w:val="single"/>
              </w:rPr>
            </w:pPr>
            <w:r>
              <w:rPr>
                <w:rFonts w:ascii="Times New Roman" w:hAnsi="Times New Roman" w:cs="Times New Roman"/>
                <w:sz w:val="20"/>
                <w:szCs w:val="20"/>
                <w:u w:val="single"/>
              </w:rPr>
              <w:t>Five Factors Considered by Holmes Court</w:t>
            </w:r>
          </w:p>
          <w:p w14:paraId="3EA04E51" w14:textId="77777777" w:rsidR="000A2139" w:rsidRPr="00013BE6" w:rsidRDefault="000A2139" w:rsidP="008517D4">
            <w:pPr>
              <w:pStyle w:val="ListParagraph"/>
              <w:ind w:left="432"/>
              <w:rPr>
                <w:rFonts w:ascii="Times New Roman" w:hAnsi="Times New Roman" w:cs="Times New Roman"/>
                <w:sz w:val="20"/>
                <w:szCs w:val="20"/>
              </w:rPr>
            </w:pPr>
            <w:r w:rsidRPr="00013BE6">
              <w:rPr>
                <w:rFonts w:ascii="Times New Roman" w:hAnsi="Times New Roman" w:cs="Times New Roman"/>
                <w:sz w:val="20"/>
                <w:szCs w:val="20"/>
              </w:rPr>
              <w:t>Court</w:t>
            </w:r>
            <w:r>
              <w:rPr>
                <w:rFonts w:ascii="Times New Roman" w:hAnsi="Times New Roman" w:cs="Times New Roman"/>
                <w:sz w:val="20"/>
                <w:szCs w:val="20"/>
              </w:rPr>
              <w:t xml:space="preserve"> </w:t>
            </w:r>
            <w:r w:rsidRPr="00013BE6">
              <w:rPr>
                <w:rFonts w:ascii="Times New Roman" w:hAnsi="Times New Roman" w:cs="Times New Roman"/>
                <w:sz w:val="20"/>
                <w:szCs w:val="20"/>
              </w:rPr>
              <w:t>applied</w:t>
            </w:r>
            <w:r>
              <w:rPr>
                <w:rFonts w:ascii="Times New Roman" w:hAnsi="Times New Roman" w:cs="Times New Roman"/>
                <w:sz w:val="20"/>
                <w:szCs w:val="20"/>
              </w:rPr>
              <w:t xml:space="preserve"> a</w:t>
            </w:r>
            <w:r w:rsidRPr="00013BE6">
              <w:rPr>
                <w:rFonts w:ascii="Times New Roman" w:hAnsi="Times New Roman" w:cs="Times New Roman"/>
                <w:sz w:val="20"/>
                <w:szCs w:val="20"/>
              </w:rPr>
              <w:t xml:space="preserve"> </w:t>
            </w:r>
            <w:r w:rsidRPr="00013BE6">
              <w:rPr>
                <w:rFonts w:ascii="Times New Roman" w:hAnsi="Times New Roman" w:cs="Times New Roman"/>
                <w:b/>
                <w:sz w:val="20"/>
                <w:szCs w:val="20"/>
              </w:rPr>
              <w:t>five-factor test</w:t>
            </w:r>
            <w:r w:rsidRPr="00013BE6">
              <w:rPr>
                <w:rFonts w:ascii="Times New Roman" w:hAnsi="Times New Roman" w:cs="Times New Roman"/>
                <w:sz w:val="20"/>
                <w:szCs w:val="20"/>
              </w:rPr>
              <w:t xml:space="preserve"> </w:t>
            </w:r>
            <w:r>
              <w:rPr>
                <w:rFonts w:ascii="Times New Roman" w:hAnsi="Times New Roman" w:cs="Times New Roman"/>
                <w:sz w:val="20"/>
                <w:szCs w:val="20"/>
              </w:rPr>
              <w:t xml:space="preserve">(citing factors considered under previous case law) </w:t>
            </w:r>
            <w:r w:rsidRPr="00013BE6">
              <w:rPr>
                <w:rFonts w:ascii="Times New Roman" w:hAnsi="Times New Roman" w:cs="Times New Roman"/>
                <w:sz w:val="20"/>
                <w:szCs w:val="20"/>
              </w:rPr>
              <w:t xml:space="preserve">in deciding whether the captive insurance arrangement </w:t>
            </w:r>
            <w:r w:rsidRPr="00013BE6">
              <w:rPr>
                <w:rFonts w:ascii="Times New Roman" w:hAnsi="Times New Roman" w:cs="Times New Roman"/>
                <w:i/>
                <w:sz w:val="20"/>
                <w:szCs w:val="20"/>
              </w:rPr>
              <w:t>looks</w:t>
            </w:r>
            <w:r w:rsidRPr="00013BE6">
              <w:rPr>
                <w:rFonts w:ascii="Times New Roman" w:hAnsi="Times New Roman" w:cs="Times New Roman"/>
                <w:sz w:val="20"/>
                <w:szCs w:val="20"/>
              </w:rPr>
              <w:t xml:space="preserve"> like insurance in the commonly accepted sense.</w:t>
            </w:r>
            <w:r w:rsidRPr="003D1041">
              <w:rPr>
                <w:vertAlign w:val="superscript"/>
              </w:rPr>
              <w:endnoteReference w:id="20"/>
            </w:r>
          </w:p>
          <w:p w14:paraId="26E94BD9" w14:textId="77777777" w:rsidR="000A2139" w:rsidRDefault="000A2139" w:rsidP="00820754">
            <w:pPr>
              <w:contextualSpacing/>
              <w:rPr>
                <w:rFonts w:ascii="Times New Roman" w:hAnsi="Times New Roman" w:cs="Times New Roman"/>
                <w:sz w:val="20"/>
                <w:szCs w:val="20"/>
              </w:rPr>
            </w:pPr>
          </w:p>
          <w:p w14:paraId="5F0F962D" w14:textId="77777777" w:rsidR="000A2139" w:rsidRDefault="000A2139" w:rsidP="00820754">
            <w:pPr>
              <w:contextualSpacing/>
              <w:rPr>
                <w:rFonts w:ascii="Times New Roman" w:hAnsi="Times New Roman" w:cs="Times New Roman"/>
                <w:sz w:val="20"/>
                <w:szCs w:val="20"/>
              </w:rPr>
            </w:pPr>
            <w:r>
              <w:rPr>
                <w:rFonts w:ascii="Times New Roman" w:hAnsi="Times New Roman" w:cs="Times New Roman"/>
                <w:sz w:val="20"/>
                <w:szCs w:val="20"/>
              </w:rPr>
              <w:t>Each material factor is analyzed below:</w:t>
            </w:r>
          </w:p>
          <w:p w14:paraId="74012E16" w14:textId="77777777" w:rsidR="000A2139" w:rsidRPr="003D1041" w:rsidRDefault="000A2139" w:rsidP="007B41A0">
            <w:pPr>
              <w:ind w:left="72"/>
              <w:contextualSpacing/>
              <w:rPr>
                <w:rFonts w:ascii="Times New Roman" w:hAnsi="Times New Roman" w:cs="Times New Roman"/>
                <w:sz w:val="20"/>
                <w:szCs w:val="20"/>
              </w:rPr>
            </w:pPr>
          </w:p>
          <w:p w14:paraId="6C51F7DA" w14:textId="77777777" w:rsidR="000A2139" w:rsidRPr="003D1041" w:rsidRDefault="000A2139" w:rsidP="006B56C5">
            <w:pPr>
              <w:contextualSpacing/>
              <w:rPr>
                <w:rFonts w:ascii="Times New Roman" w:hAnsi="Times New Roman" w:cs="Times New Roman"/>
                <w:sz w:val="20"/>
                <w:szCs w:val="20"/>
                <w:u w:val="single"/>
              </w:rPr>
            </w:pPr>
            <w:r>
              <w:rPr>
                <w:rFonts w:ascii="Times New Roman" w:hAnsi="Times New Roman" w:cs="Times New Roman"/>
                <w:sz w:val="20"/>
                <w:szCs w:val="20"/>
                <w:u w:val="single"/>
              </w:rPr>
              <w:t xml:space="preserve">1.   </w:t>
            </w:r>
            <w:r w:rsidRPr="003D1041">
              <w:rPr>
                <w:rFonts w:ascii="Times New Roman" w:hAnsi="Times New Roman" w:cs="Times New Roman"/>
                <w:sz w:val="20"/>
                <w:szCs w:val="20"/>
                <w:u w:val="single"/>
              </w:rPr>
              <w:t>Organization, operation, and regulation</w:t>
            </w:r>
          </w:p>
          <w:p w14:paraId="1F9E5BC3" w14:textId="77777777" w:rsidR="000A2139" w:rsidRPr="00AB7A3A" w:rsidRDefault="000A2139" w:rsidP="00C82490">
            <w:pPr>
              <w:pStyle w:val="ListParagraph"/>
              <w:numPr>
                <w:ilvl w:val="0"/>
                <w:numId w:val="32"/>
              </w:numPr>
              <w:rPr>
                <w:rFonts w:ascii="Times New Roman" w:hAnsi="Times New Roman" w:cs="Times New Roman"/>
                <w:sz w:val="20"/>
                <w:szCs w:val="20"/>
              </w:rPr>
            </w:pPr>
            <w:r w:rsidRPr="003D1041">
              <w:rPr>
                <w:rFonts w:ascii="Times New Roman" w:hAnsi="Times New Roman" w:cs="Times New Roman"/>
                <w:sz w:val="20"/>
                <w:szCs w:val="20"/>
              </w:rPr>
              <w:t>Court found this factor to be lacking, focusing on</w:t>
            </w:r>
            <w:r>
              <w:rPr>
                <w:rFonts w:ascii="Times New Roman" w:hAnsi="Times New Roman" w:cs="Times New Roman"/>
                <w:sz w:val="20"/>
                <w:szCs w:val="20"/>
              </w:rPr>
              <w:t>:</w:t>
            </w:r>
            <w:r w:rsidRPr="003D1041">
              <w:rPr>
                <w:rFonts w:ascii="Times New Roman" w:hAnsi="Times New Roman" w:cs="Times New Roman"/>
                <w:sz w:val="20"/>
                <w:szCs w:val="20"/>
              </w:rPr>
              <w:t xml:space="preserve">  (1) Feedback dealt with claims “on an ad hoc basis” and (2) Feedback invested only in illiquid, long-term loans to related parties and failed to get regulatory approval before transferring the loaned funds</w:t>
            </w:r>
            <w:r>
              <w:rPr>
                <w:rFonts w:ascii="Times New Roman" w:hAnsi="Times New Roman" w:cs="Times New Roman"/>
                <w:sz w:val="20"/>
                <w:szCs w:val="20"/>
              </w:rPr>
              <w:t xml:space="preserve">, and (3) </w:t>
            </w:r>
            <w:r w:rsidRPr="00E01FB6">
              <w:rPr>
                <w:rFonts w:ascii="Times New Roman" w:hAnsi="Times New Roman" w:cs="Times New Roman"/>
                <w:sz w:val="20"/>
                <w:szCs w:val="20"/>
              </w:rPr>
              <w:t>the Avrahami</w:t>
            </w:r>
            <w:r>
              <w:rPr>
                <w:rFonts w:ascii="Times New Roman" w:hAnsi="Times New Roman" w:cs="Times New Roman"/>
                <w:sz w:val="20"/>
                <w:szCs w:val="20"/>
              </w:rPr>
              <w:t>s’ insured</w:t>
            </w:r>
            <w:r w:rsidRPr="00E01FB6">
              <w:rPr>
                <w:rFonts w:ascii="Times New Roman" w:hAnsi="Times New Roman" w:cs="Times New Roman"/>
                <w:sz w:val="20"/>
                <w:szCs w:val="20"/>
              </w:rPr>
              <w:t xml:space="preserve"> entities made</w:t>
            </w:r>
            <w:r>
              <w:rPr>
                <w:rFonts w:ascii="Times New Roman" w:hAnsi="Times New Roman" w:cs="Times New Roman"/>
                <w:sz w:val="20"/>
                <w:szCs w:val="20"/>
              </w:rPr>
              <w:t xml:space="preserve"> </w:t>
            </w:r>
            <w:r w:rsidRPr="00E01FB6">
              <w:rPr>
                <w:rFonts w:ascii="Times New Roman" w:hAnsi="Times New Roman" w:cs="Times New Roman"/>
                <w:sz w:val="20"/>
                <w:szCs w:val="20"/>
              </w:rPr>
              <w:t>no claims against Feedback unt</w:t>
            </w:r>
            <w:r>
              <w:rPr>
                <w:rFonts w:ascii="Times New Roman" w:hAnsi="Times New Roman" w:cs="Times New Roman"/>
                <w:sz w:val="20"/>
                <w:szCs w:val="20"/>
              </w:rPr>
              <w:t xml:space="preserve">il </w:t>
            </w:r>
            <w:r w:rsidRPr="00E01FB6">
              <w:rPr>
                <w:rFonts w:ascii="Times New Roman" w:hAnsi="Times New Roman" w:cs="Times New Roman"/>
                <w:sz w:val="20"/>
                <w:szCs w:val="20"/>
              </w:rPr>
              <w:t xml:space="preserve">two months </w:t>
            </w:r>
            <w:r w:rsidRPr="0016390C">
              <w:rPr>
                <w:rFonts w:ascii="Times New Roman" w:hAnsi="Times New Roman" w:cs="Times New Roman"/>
                <w:b/>
                <w:sz w:val="20"/>
                <w:szCs w:val="20"/>
                <w:u w:val="single"/>
              </w:rPr>
              <w:t>after</w:t>
            </w:r>
            <w:r w:rsidRPr="00E01FB6">
              <w:rPr>
                <w:rFonts w:ascii="Times New Roman" w:hAnsi="Times New Roman" w:cs="Times New Roman"/>
                <w:sz w:val="20"/>
                <w:szCs w:val="20"/>
              </w:rPr>
              <w:t xml:space="preserve"> the IRS </w:t>
            </w:r>
            <w:r>
              <w:rPr>
                <w:rFonts w:ascii="Times New Roman" w:hAnsi="Times New Roman" w:cs="Times New Roman"/>
                <w:sz w:val="20"/>
                <w:szCs w:val="20"/>
              </w:rPr>
              <w:t>commenced</w:t>
            </w:r>
            <w:r w:rsidRPr="00E01FB6">
              <w:rPr>
                <w:rFonts w:ascii="Times New Roman" w:hAnsi="Times New Roman" w:cs="Times New Roman"/>
                <w:sz w:val="20"/>
                <w:szCs w:val="20"/>
              </w:rPr>
              <w:t xml:space="preserve"> </w:t>
            </w:r>
            <w:r>
              <w:rPr>
                <w:rFonts w:ascii="Times New Roman" w:hAnsi="Times New Roman" w:cs="Times New Roman"/>
                <w:sz w:val="20"/>
                <w:szCs w:val="20"/>
              </w:rPr>
              <w:t xml:space="preserve">its tax </w:t>
            </w:r>
            <w:r w:rsidRPr="00E01FB6">
              <w:rPr>
                <w:rFonts w:ascii="Times New Roman" w:hAnsi="Times New Roman" w:cs="Times New Roman"/>
                <w:sz w:val="20"/>
                <w:szCs w:val="20"/>
              </w:rPr>
              <w:t>audit</w:t>
            </w:r>
            <w:r>
              <w:rPr>
                <w:rFonts w:ascii="Times New Roman" w:hAnsi="Times New Roman" w:cs="Times New Roman"/>
                <w:sz w:val="20"/>
                <w:szCs w:val="20"/>
              </w:rPr>
              <w:t>,  resulting in the court suggesting that the captive was a “sham.”</w:t>
            </w:r>
          </w:p>
          <w:p w14:paraId="1932FB2B" w14:textId="77777777" w:rsidR="000A2139" w:rsidRDefault="000A2139" w:rsidP="001A0C79">
            <w:pPr>
              <w:contextualSpacing/>
              <w:rPr>
                <w:rFonts w:ascii="Times New Roman" w:hAnsi="Times New Roman" w:cs="Times New Roman"/>
                <w:sz w:val="20"/>
                <w:szCs w:val="20"/>
                <w:u w:val="single"/>
              </w:rPr>
            </w:pPr>
          </w:p>
          <w:p w14:paraId="53DA645B" w14:textId="77777777" w:rsidR="000A2139" w:rsidRDefault="000A2139" w:rsidP="001A0C79">
            <w:pPr>
              <w:contextualSpacing/>
              <w:rPr>
                <w:rFonts w:ascii="Times New Roman" w:hAnsi="Times New Roman" w:cs="Times New Roman"/>
                <w:sz w:val="20"/>
                <w:szCs w:val="20"/>
                <w:u w:val="single"/>
              </w:rPr>
            </w:pPr>
          </w:p>
          <w:p w14:paraId="7C48D8B0" w14:textId="77777777" w:rsidR="000A2139" w:rsidRDefault="000A2139" w:rsidP="001A0C79">
            <w:pPr>
              <w:contextualSpacing/>
              <w:rPr>
                <w:rFonts w:ascii="Times New Roman" w:hAnsi="Times New Roman" w:cs="Times New Roman"/>
                <w:sz w:val="20"/>
                <w:szCs w:val="20"/>
                <w:u w:val="single"/>
              </w:rPr>
            </w:pPr>
          </w:p>
          <w:p w14:paraId="11ADCBC8" w14:textId="77777777" w:rsidR="000A2139" w:rsidRDefault="000A2139" w:rsidP="001A0C79">
            <w:pPr>
              <w:contextualSpacing/>
              <w:rPr>
                <w:rFonts w:ascii="Times New Roman" w:hAnsi="Times New Roman" w:cs="Times New Roman"/>
                <w:sz w:val="20"/>
                <w:szCs w:val="20"/>
                <w:u w:val="single"/>
              </w:rPr>
            </w:pPr>
          </w:p>
          <w:p w14:paraId="536F643D" w14:textId="77777777" w:rsidR="000A2139" w:rsidRDefault="000A2139" w:rsidP="001A0C79">
            <w:pPr>
              <w:contextualSpacing/>
              <w:rPr>
                <w:rFonts w:ascii="Times New Roman" w:hAnsi="Times New Roman" w:cs="Times New Roman"/>
                <w:sz w:val="20"/>
                <w:szCs w:val="20"/>
                <w:u w:val="single"/>
              </w:rPr>
            </w:pPr>
          </w:p>
          <w:p w14:paraId="736554EB" w14:textId="77777777" w:rsidR="000A2139" w:rsidRDefault="000A2139" w:rsidP="001A0C79">
            <w:pPr>
              <w:contextualSpacing/>
              <w:rPr>
                <w:rFonts w:ascii="Times New Roman" w:hAnsi="Times New Roman" w:cs="Times New Roman"/>
                <w:sz w:val="20"/>
                <w:szCs w:val="20"/>
                <w:u w:val="single"/>
              </w:rPr>
            </w:pPr>
          </w:p>
          <w:p w14:paraId="1177B6A2" w14:textId="77777777" w:rsidR="000A2139" w:rsidRDefault="000A2139" w:rsidP="001A0C79">
            <w:pPr>
              <w:contextualSpacing/>
              <w:rPr>
                <w:rFonts w:ascii="Times New Roman" w:hAnsi="Times New Roman" w:cs="Times New Roman"/>
                <w:sz w:val="20"/>
                <w:szCs w:val="20"/>
                <w:u w:val="single"/>
              </w:rPr>
            </w:pPr>
          </w:p>
          <w:p w14:paraId="38A610AF" w14:textId="77777777" w:rsidR="000A2139" w:rsidRDefault="000A2139" w:rsidP="001A0C79">
            <w:pPr>
              <w:contextualSpacing/>
              <w:rPr>
                <w:rFonts w:ascii="Times New Roman" w:hAnsi="Times New Roman" w:cs="Times New Roman"/>
                <w:sz w:val="20"/>
                <w:szCs w:val="20"/>
                <w:u w:val="single"/>
              </w:rPr>
            </w:pPr>
          </w:p>
          <w:p w14:paraId="55DAED61" w14:textId="77777777" w:rsidR="000A2139" w:rsidRDefault="000A2139" w:rsidP="001A0C79">
            <w:pPr>
              <w:contextualSpacing/>
              <w:rPr>
                <w:rFonts w:ascii="Times New Roman" w:hAnsi="Times New Roman" w:cs="Times New Roman"/>
                <w:sz w:val="20"/>
                <w:szCs w:val="20"/>
                <w:u w:val="single"/>
              </w:rPr>
            </w:pPr>
          </w:p>
          <w:p w14:paraId="4AD179FB" w14:textId="77777777" w:rsidR="000A2139" w:rsidRDefault="000A2139" w:rsidP="001A0C79">
            <w:pPr>
              <w:contextualSpacing/>
              <w:rPr>
                <w:rFonts w:ascii="Times New Roman" w:hAnsi="Times New Roman" w:cs="Times New Roman"/>
                <w:sz w:val="20"/>
                <w:szCs w:val="20"/>
                <w:u w:val="single"/>
              </w:rPr>
            </w:pPr>
          </w:p>
          <w:p w14:paraId="6141608F" w14:textId="77777777" w:rsidR="000A2139" w:rsidRDefault="000A2139" w:rsidP="001A0C79">
            <w:pPr>
              <w:contextualSpacing/>
              <w:rPr>
                <w:rFonts w:ascii="Times New Roman" w:hAnsi="Times New Roman" w:cs="Times New Roman"/>
                <w:sz w:val="20"/>
                <w:szCs w:val="20"/>
                <w:u w:val="single"/>
              </w:rPr>
            </w:pPr>
          </w:p>
          <w:p w14:paraId="242227A4" w14:textId="77777777" w:rsidR="000A2139" w:rsidRDefault="000A2139" w:rsidP="001A0C79">
            <w:pPr>
              <w:contextualSpacing/>
              <w:rPr>
                <w:rFonts w:ascii="Times New Roman" w:hAnsi="Times New Roman" w:cs="Times New Roman"/>
                <w:sz w:val="20"/>
                <w:szCs w:val="20"/>
                <w:u w:val="single"/>
              </w:rPr>
            </w:pPr>
          </w:p>
          <w:p w14:paraId="4D578250" w14:textId="77777777" w:rsidR="000A2139" w:rsidRDefault="000A2139" w:rsidP="001A0C79">
            <w:pPr>
              <w:contextualSpacing/>
              <w:rPr>
                <w:rFonts w:ascii="Times New Roman" w:hAnsi="Times New Roman" w:cs="Times New Roman"/>
                <w:sz w:val="20"/>
                <w:szCs w:val="20"/>
                <w:u w:val="single"/>
              </w:rPr>
            </w:pPr>
          </w:p>
          <w:p w14:paraId="312F18B2" w14:textId="77777777" w:rsidR="000A2139" w:rsidRDefault="000A2139" w:rsidP="001A0C79">
            <w:pPr>
              <w:contextualSpacing/>
              <w:rPr>
                <w:rFonts w:ascii="Times New Roman" w:hAnsi="Times New Roman" w:cs="Times New Roman"/>
                <w:sz w:val="20"/>
                <w:szCs w:val="20"/>
                <w:u w:val="single"/>
              </w:rPr>
            </w:pPr>
          </w:p>
          <w:p w14:paraId="76D33223" w14:textId="77777777" w:rsidR="000A2139" w:rsidRDefault="000A2139" w:rsidP="001A0C79">
            <w:pPr>
              <w:contextualSpacing/>
              <w:rPr>
                <w:rFonts w:ascii="Times New Roman" w:hAnsi="Times New Roman" w:cs="Times New Roman"/>
                <w:sz w:val="20"/>
                <w:szCs w:val="20"/>
                <w:u w:val="single"/>
              </w:rPr>
            </w:pPr>
          </w:p>
          <w:p w14:paraId="1F3761E0" w14:textId="77777777" w:rsidR="000A2139" w:rsidRDefault="000A2139" w:rsidP="001A0C79">
            <w:pPr>
              <w:contextualSpacing/>
              <w:rPr>
                <w:rFonts w:ascii="Times New Roman" w:hAnsi="Times New Roman" w:cs="Times New Roman"/>
                <w:sz w:val="20"/>
                <w:szCs w:val="20"/>
                <w:u w:val="single"/>
              </w:rPr>
            </w:pPr>
          </w:p>
          <w:p w14:paraId="2AB29D47" w14:textId="77777777" w:rsidR="000A2139" w:rsidRDefault="000A2139" w:rsidP="001A0C79">
            <w:pPr>
              <w:contextualSpacing/>
              <w:rPr>
                <w:rFonts w:ascii="Times New Roman" w:hAnsi="Times New Roman" w:cs="Times New Roman"/>
                <w:sz w:val="20"/>
                <w:szCs w:val="20"/>
                <w:u w:val="single"/>
              </w:rPr>
            </w:pPr>
          </w:p>
          <w:p w14:paraId="21486A89" w14:textId="77777777" w:rsidR="000A2139" w:rsidRDefault="000A2139" w:rsidP="001A0C79">
            <w:pPr>
              <w:contextualSpacing/>
              <w:rPr>
                <w:rFonts w:ascii="Times New Roman" w:hAnsi="Times New Roman" w:cs="Times New Roman"/>
                <w:sz w:val="20"/>
                <w:szCs w:val="20"/>
                <w:u w:val="single"/>
              </w:rPr>
            </w:pPr>
          </w:p>
          <w:p w14:paraId="722BD705" w14:textId="77777777" w:rsidR="000A2139" w:rsidRDefault="000A2139" w:rsidP="001A0C79">
            <w:pPr>
              <w:contextualSpacing/>
              <w:rPr>
                <w:rFonts w:ascii="Times New Roman" w:hAnsi="Times New Roman" w:cs="Times New Roman"/>
                <w:sz w:val="20"/>
                <w:szCs w:val="20"/>
                <w:u w:val="single"/>
              </w:rPr>
            </w:pPr>
          </w:p>
          <w:p w14:paraId="16E4BF13" w14:textId="77777777" w:rsidR="000A2139" w:rsidRDefault="000A2139" w:rsidP="001A0C79">
            <w:pPr>
              <w:contextualSpacing/>
              <w:rPr>
                <w:rFonts w:ascii="Times New Roman" w:hAnsi="Times New Roman" w:cs="Times New Roman"/>
                <w:sz w:val="20"/>
                <w:szCs w:val="20"/>
                <w:u w:val="single"/>
              </w:rPr>
            </w:pPr>
          </w:p>
          <w:p w14:paraId="6082F0E0" w14:textId="77777777" w:rsidR="000A2139" w:rsidRDefault="000A2139" w:rsidP="001A0C79">
            <w:pPr>
              <w:contextualSpacing/>
              <w:rPr>
                <w:rFonts w:ascii="Times New Roman" w:hAnsi="Times New Roman" w:cs="Times New Roman"/>
                <w:sz w:val="20"/>
                <w:szCs w:val="20"/>
                <w:u w:val="single"/>
              </w:rPr>
            </w:pPr>
          </w:p>
          <w:p w14:paraId="1A5FAB54" w14:textId="77777777" w:rsidR="000A2139" w:rsidRDefault="000A2139" w:rsidP="001A0C79">
            <w:pPr>
              <w:contextualSpacing/>
              <w:rPr>
                <w:rFonts w:ascii="Times New Roman" w:hAnsi="Times New Roman" w:cs="Times New Roman"/>
                <w:sz w:val="20"/>
                <w:szCs w:val="20"/>
                <w:u w:val="single"/>
              </w:rPr>
            </w:pPr>
          </w:p>
          <w:p w14:paraId="633C62D8" w14:textId="77777777" w:rsidR="000A2139" w:rsidRDefault="000A2139" w:rsidP="001A0C79">
            <w:pPr>
              <w:contextualSpacing/>
              <w:rPr>
                <w:rFonts w:ascii="Times New Roman" w:hAnsi="Times New Roman" w:cs="Times New Roman"/>
                <w:sz w:val="20"/>
                <w:szCs w:val="20"/>
                <w:u w:val="single"/>
              </w:rPr>
            </w:pPr>
          </w:p>
          <w:p w14:paraId="1EA8F48D" w14:textId="77777777" w:rsidR="000A2139" w:rsidRDefault="000A2139" w:rsidP="001A0C79">
            <w:pPr>
              <w:contextualSpacing/>
              <w:rPr>
                <w:rFonts w:ascii="Times New Roman" w:hAnsi="Times New Roman" w:cs="Times New Roman"/>
                <w:sz w:val="20"/>
                <w:szCs w:val="20"/>
                <w:u w:val="single"/>
              </w:rPr>
            </w:pPr>
          </w:p>
          <w:p w14:paraId="52BA9745" w14:textId="77777777" w:rsidR="000A2139" w:rsidRDefault="000A2139" w:rsidP="001A0C79">
            <w:pPr>
              <w:contextualSpacing/>
              <w:rPr>
                <w:rFonts w:ascii="Times New Roman" w:hAnsi="Times New Roman" w:cs="Times New Roman"/>
                <w:sz w:val="20"/>
                <w:szCs w:val="20"/>
                <w:u w:val="single"/>
              </w:rPr>
            </w:pPr>
          </w:p>
          <w:p w14:paraId="434641D3" w14:textId="77777777" w:rsidR="000A2139" w:rsidRDefault="000A2139" w:rsidP="00EE3CC3">
            <w:pPr>
              <w:contextualSpacing/>
              <w:rPr>
                <w:rFonts w:ascii="Times New Roman" w:hAnsi="Times New Roman" w:cs="Times New Roman"/>
                <w:sz w:val="20"/>
                <w:szCs w:val="20"/>
                <w:u w:val="single"/>
              </w:rPr>
            </w:pPr>
          </w:p>
          <w:p w14:paraId="79581C62" w14:textId="77777777" w:rsidR="000A2139" w:rsidRPr="003D1041" w:rsidRDefault="000A2139" w:rsidP="00EE3CC3">
            <w:pPr>
              <w:contextualSpacing/>
              <w:rPr>
                <w:rFonts w:ascii="Times New Roman" w:hAnsi="Times New Roman" w:cs="Times New Roman"/>
                <w:sz w:val="20"/>
                <w:szCs w:val="20"/>
                <w:u w:val="single"/>
              </w:rPr>
            </w:pPr>
            <w:r>
              <w:rPr>
                <w:rFonts w:ascii="Times New Roman" w:hAnsi="Times New Roman" w:cs="Times New Roman"/>
                <w:sz w:val="20"/>
                <w:szCs w:val="20"/>
                <w:u w:val="single"/>
              </w:rPr>
              <w:t xml:space="preserve">3.  </w:t>
            </w:r>
            <w:r w:rsidRPr="003D1041">
              <w:rPr>
                <w:rFonts w:ascii="Times New Roman" w:hAnsi="Times New Roman" w:cs="Times New Roman"/>
                <w:sz w:val="20"/>
                <w:szCs w:val="20"/>
                <w:u w:val="single"/>
              </w:rPr>
              <w:t>Valid and binding policies</w:t>
            </w:r>
          </w:p>
          <w:p w14:paraId="4445C88C" w14:textId="77777777" w:rsidR="000A2139" w:rsidRDefault="000A2139" w:rsidP="00C82490">
            <w:pPr>
              <w:pStyle w:val="ListParagraph"/>
              <w:numPr>
                <w:ilvl w:val="0"/>
                <w:numId w:val="38"/>
              </w:numPr>
              <w:rPr>
                <w:rFonts w:ascii="Times New Roman" w:hAnsi="Times New Roman" w:cs="Times New Roman"/>
                <w:sz w:val="20"/>
                <w:szCs w:val="20"/>
              </w:rPr>
            </w:pPr>
            <w:r w:rsidRPr="003D1041">
              <w:rPr>
                <w:rFonts w:ascii="Times New Roman" w:hAnsi="Times New Roman" w:cs="Times New Roman"/>
                <w:sz w:val="20"/>
                <w:szCs w:val="20"/>
              </w:rPr>
              <w:t>Court found this factor to be lacking, focusing on</w:t>
            </w:r>
            <w:r>
              <w:rPr>
                <w:rFonts w:ascii="Times New Roman" w:hAnsi="Times New Roman" w:cs="Times New Roman"/>
                <w:sz w:val="20"/>
                <w:szCs w:val="20"/>
              </w:rPr>
              <w:t xml:space="preserve"> the fact that Feedback’s polices had </w:t>
            </w:r>
            <w:r w:rsidRPr="00712E8E">
              <w:rPr>
                <w:rFonts w:ascii="Times New Roman" w:hAnsi="Times New Roman" w:cs="Times New Roman"/>
                <w:b/>
                <w:sz w:val="20"/>
                <w:szCs w:val="20"/>
              </w:rPr>
              <w:t>contradictory terms</w:t>
            </w:r>
            <w:r>
              <w:rPr>
                <w:rFonts w:ascii="Times New Roman" w:hAnsi="Times New Roman" w:cs="Times New Roman"/>
                <w:sz w:val="20"/>
                <w:szCs w:val="20"/>
              </w:rPr>
              <w:t xml:space="preserve"> since they were </w:t>
            </w:r>
            <w:r w:rsidRPr="00150FD7">
              <w:rPr>
                <w:rFonts w:ascii="Times New Roman" w:hAnsi="Times New Roman" w:cs="Times New Roman"/>
                <w:sz w:val="20"/>
                <w:szCs w:val="20"/>
              </w:rPr>
              <w:t xml:space="preserve">indicative of both a </w:t>
            </w:r>
            <w:r>
              <w:rPr>
                <w:rFonts w:ascii="Times New Roman" w:hAnsi="Times New Roman" w:cs="Times New Roman"/>
                <w:sz w:val="20"/>
                <w:szCs w:val="20"/>
              </w:rPr>
              <w:t>“</w:t>
            </w:r>
            <w:r w:rsidRPr="00150FD7">
              <w:rPr>
                <w:rFonts w:ascii="Times New Roman" w:hAnsi="Times New Roman" w:cs="Times New Roman"/>
                <w:sz w:val="20"/>
                <w:szCs w:val="20"/>
              </w:rPr>
              <w:t>claims-made</w:t>
            </w:r>
            <w:r>
              <w:rPr>
                <w:rFonts w:ascii="Times New Roman" w:hAnsi="Times New Roman" w:cs="Times New Roman"/>
                <w:sz w:val="20"/>
                <w:szCs w:val="20"/>
              </w:rPr>
              <w:t xml:space="preserve">” </w:t>
            </w:r>
            <w:r w:rsidRPr="00167A9A">
              <w:rPr>
                <w:rFonts w:ascii="Times New Roman" w:hAnsi="Times New Roman" w:cs="Times New Roman"/>
                <w:sz w:val="20"/>
                <w:szCs w:val="20"/>
              </w:rPr>
              <w:t>policy</w:t>
            </w:r>
            <w:r>
              <w:rPr>
                <w:rFonts w:ascii="Times New Roman" w:hAnsi="Times New Roman" w:cs="Times New Roman"/>
                <w:sz w:val="20"/>
                <w:szCs w:val="20"/>
              </w:rPr>
              <w:t xml:space="preserve"> (i.e., </w:t>
            </w:r>
            <w:r w:rsidRPr="00167A9A">
              <w:rPr>
                <w:rFonts w:ascii="Times New Roman" w:hAnsi="Times New Roman" w:cs="Times New Roman"/>
                <w:sz w:val="20"/>
                <w:szCs w:val="20"/>
              </w:rPr>
              <w:t>the claim must be reported during the policy period</w:t>
            </w:r>
            <w:r>
              <w:rPr>
                <w:rFonts w:ascii="Times New Roman" w:hAnsi="Times New Roman" w:cs="Times New Roman"/>
                <w:sz w:val="20"/>
                <w:szCs w:val="20"/>
              </w:rPr>
              <w:t xml:space="preserve">) and </w:t>
            </w:r>
            <w:r w:rsidRPr="00167A9A">
              <w:rPr>
                <w:rFonts w:ascii="Times New Roman" w:hAnsi="Times New Roman" w:cs="Times New Roman"/>
                <w:sz w:val="20"/>
                <w:szCs w:val="20"/>
              </w:rPr>
              <w:t xml:space="preserve">an </w:t>
            </w:r>
            <w:r>
              <w:rPr>
                <w:rFonts w:ascii="Times New Roman" w:hAnsi="Times New Roman" w:cs="Times New Roman"/>
                <w:sz w:val="20"/>
                <w:szCs w:val="20"/>
              </w:rPr>
              <w:t>“</w:t>
            </w:r>
            <w:r w:rsidRPr="00167A9A">
              <w:rPr>
                <w:rFonts w:ascii="Times New Roman" w:hAnsi="Times New Roman" w:cs="Times New Roman"/>
                <w:sz w:val="20"/>
                <w:szCs w:val="20"/>
              </w:rPr>
              <w:t>occurrence</w:t>
            </w:r>
            <w:r>
              <w:rPr>
                <w:rFonts w:ascii="Times New Roman" w:hAnsi="Times New Roman" w:cs="Times New Roman"/>
                <w:sz w:val="20"/>
                <w:szCs w:val="20"/>
              </w:rPr>
              <w:t xml:space="preserve"> p</w:t>
            </w:r>
            <w:r w:rsidRPr="00E977C4">
              <w:rPr>
                <w:rFonts w:ascii="Times New Roman" w:hAnsi="Times New Roman" w:cs="Times New Roman"/>
                <w:sz w:val="20"/>
                <w:szCs w:val="20"/>
              </w:rPr>
              <w:t>olicy” (i.e., the claim must occur during the policy period).</w:t>
            </w:r>
          </w:p>
          <w:p w14:paraId="442B80E5" w14:textId="77777777" w:rsidR="000A2139" w:rsidRPr="00BE1242" w:rsidRDefault="000A2139" w:rsidP="00BE1242">
            <w:pPr>
              <w:rPr>
                <w:rFonts w:ascii="Times New Roman" w:hAnsi="Times New Roman" w:cs="Times New Roman"/>
                <w:sz w:val="20"/>
                <w:szCs w:val="20"/>
              </w:rPr>
            </w:pPr>
          </w:p>
          <w:p w14:paraId="53FCA975" w14:textId="77777777" w:rsidR="000A2139" w:rsidRDefault="000A2139" w:rsidP="002D1F0A">
            <w:pPr>
              <w:contextualSpacing/>
              <w:rPr>
                <w:rFonts w:ascii="Times New Roman" w:hAnsi="Times New Roman" w:cs="Times New Roman"/>
                <w:sz w:val="20"/>
                <w:szCs w:val="20"/>
                <w:u w:val="single"/>
              </w:rPr>
            </w:pPr>
          </w:p>
          <w:p w14:paraId="1EFDC64C" w14:textId="77777777" w:rsidR="000A2139" w:rsidRDefault="000A2139" w:rsidP="002D1F0A">
            <w:pPr>
              <w:contextualSpacing/>
              <w:rPr>
                <w:rFonts w:ascii="Times New Roman" w:hAnsi="Times New Roman" w:cs="Times New Roman"/>
                <w:sz w:val="20"/>
                <w:szCs w:val="20"/>
                <w:u w:val="single"/>
              </w:rPr>
            </w:pPr>
          </w:p>
          <w:p w14:paraId="08AD0E74" w14:textId="77777777" w:rsidR="000A2139" w:rsidRDefault="000A2139" w:rsidP="002D1F0A">
            <w:pPr>
              <w:contextualSpacing/>
              <w:rPr>
                <w:rFonts w:ascii="Times New Roman" w:hAnsi="Times New Roman" w:cs="Times New Roman"/>
                <w:sz w:val="20"/>
                <w:szCs w:val="20"/>
                <w:u w:val="single"/>
              </w:rPr>
            </w:pPr>
          </w:p>
          <w:p w14:paraId="72103E7F" w14:textId="77777777" w:rsidR="000A2139" w:rsidRDefault="000A2139" w:rsidP="002D1F0A">
            <w:pPr>
              <w:contextualSpacing/>
              <w:rPr>
                <w:rFonts w:ascii="Times New Roman" w:hAnsi="Times New Roman" w:cs="Times New Roman"/>
                <w:sz w:val="20"/>
                <w:szCs w:val="20"/>
                <w:u w:val="single"/>
              </w:rPr>
            </w:pPr>
          </w:p>
          <w:p w14:paraId="743A7D7A" w14:textId="77777777" w:rsidR="000A2139" w:rsidRDefault="000A2139" w:rsidP="002D1F0A">
            <w:pPr>
              <w:contextualSpacing/>
              <w:rPr>
                <w:rFonts w:ascii="Times New Roman" w:hAnsi="Times New Roman" w:cs="Times New Roman"/>
                <w:sz w:val="20"/>
                <w:szCs w:val="20"/>
                <w:u w:val="single"/>
              </w:rPr>
            </w:pPr>
          </w:p>
          <w:p w14:paraId="02ECAE88" w14:textId="77777777" w:rsidR="000A2139" w:rsidRDefault="000A2139" w:rsidP="002D1F0A">
            <w:pPr>
              <w:contextualSpacing/>
              <w:rPr>
                <w:rFonts w:ascii="Times New Roman" w:hAnsi="Times New Roman" w:cs="Times New Roman"/>
                <w:sz w:val="20"/>
                <w:szCs w:val="20"/>
                <w:u w:val="single"/>
              </w:rPr>
            </w:pPr>
          </w:p>
          <w:p w14:paraId="4CF03899" w14:textId="77777777" w:rsidR="000A2139" w:rsidRDefault="000A2139" w:rsidP="002D1F0A">
            <w:pPr>
              <w:contextualSpacing/>
              <w:rPr>
                <w:rFonts w:ascii="Times New Roman" w:hAnsi="Times New Roman" w:cs="Times New Roman"/>
                <w:sz w:val="20"/>
                <w:szCs w:val="20"/>
                <w:u w:val="single"/>
              </w:rPr>
            </w:pPr>
          </w:p>
          <w:p w14:paraId="36B83155" w14:textId="77777777" w:rsidR="000A2139" w:rsidRDefault="000A2139" w:rsidP="002D1F0A">
            <w:pPr>
              <w:contextualSpacing/>
              <w:rPr>
                <w:rFonts w:ascii="Times New Roman" w:hAnsi="Times New Roman" w:cs="Times New Roman"/>
                <w:sz w:val="20"/>
                <w:szCs w:val="20"/>
                <w:u w:val="single"/>
              </w:rPr>
            </w:pPr>
          </w:p>
          <w:p w14:paraId="53495C00" w14:textId="77777777" w:rsidR="000A2139" w:rsidRDefault="000A2139" w:rsidP="002D1F0A">
            <w:pPr>
              <w:contextualSpacing/>
              <w:rPr>
                <w:rFonts w:ascii="Times New Roman" w:hAnsi="Times New Roman" w:cs="Times New Roman"/>
                <w:sz w:val="20"/>
                <w:szCs w:val="20"/>
                <w:u w:val="single"/>
              </w:rPr>
            </w:pPr>
          </w:p>
          <w:p w14:paraId="405B48D6" w14:textId="77777777" w:rsidR="000A2139" w:rsidRDefault="000A2139" w:rsidP="002D1F0A">
            <w:pPr>
              <w:contextualSpacing/>
              <w:rPr>
                <w:rFonts w:ascii="Times New Roman" w:hAnsi="Times New Roman" w:cs="Times New Roman"/>
                <w:sz w:val="20"/>
                <w:szCs w:val="20"/>
                <w:u w:val="single"/>
              </w:rPr>
            </w:pPr>
          </w:p>
          <w:p w14:paraId="0906159C" w14:textId="77777777" w:rsidR="000A2139" w:rsidRDefault="000A2139" w:rsidP="002D1F0A">
            <w:pPr>
              <w:contextualSpacing/>
              <w:rPr>
                <w:rFonts w:ascii="Times New Roman" w:hAnsi="Times New Roman" w:cs="Times New Roman"/>
                <w:sz w:val="20"/>
                <w:szCs w:val="20"/>
                <w:u w:val="single"/>
              </w:rPr>
            </w:pPr>
          </w:p>
          <w:p w14:paraId="4977A94F" w14:textId="77777777" w:rsidR="000A2139" w:rsidRDefault="000A2139" w:rsidP="002D1F0A">
            <w:pPr>
              <w:contextualSpacing/>
              <w:rPr>
                <w:rFonts w:ascii="Times New Roman" w:hAnsi="Times New Roman" w:cs="Times New Roman"/>
                <w:sz w:val="20"/>
                <w:szCs w:val="20"/>
                <w:u w:val="single"/>
              </w:rPr>
            </w:pPr>
          </w:p>
          <w:p w14:paraId="0EA718EA" w14:textId="77777777" w:rsidR="000A2139" w:rsidRDefault="000A2139" w:rsidP="002D1F0A">
            <w:pPr>
              <w:contextualSpacing/>
              <w:rPr>
                <w:rFonts w:ascii="Times New Roman" w:hAnsi="Times New Roman" w:cs="Times New Roman"/>
                <w:sz w:val="20"/>
                <w:szCs w:val="20"/>
                <w:u w:val="single"/>
              </w:rPr>
            </w:pPr>
          </w:p>
          <w:p w14:paraId="3B737AFC" w14:textId="77777777" w:rsidR="000A2139" w:rsidRDefault="000A2139" w:rsidP="002D1F0A">
            <w:pPr>
              <w:contextualSpacing/>
              <w:rPr>
                <w:rFonts w:ascii="Times New Roman" w:hAnsi="Times New Roman" w:cs="Times New Roman"/>
                <w:sz w:val="20"/>
                <w:szCs w:val="20"/>
                <w:u w:val="single"/>
              </w:rPr>
            </w:pPr>
          </w:p>
          <w:p w14:paraId="5841F54E" w14:textId="77777777" w:rsidR="000A2139" w:rsidRDefault="000A2139" w:rsidP="002D1F0A">
            <w:pPr>
              <w:contextualSpacing/>
              <w:rPr>
                <w:rFonts w:ascii="Times New Roman" w:hAnsi="Times New Roman" w:cs="Times New Roman"/>
                <w:sz w:val="20"/>
                <w:szCs w:val="20"/>
                <w:u w:val="single"/>
              </w:rPr>
            </w:pPr>
          </w:p>
          <w:p w14:paraId="756C906B" w14:textId="77777777" w:rsidR="000A2139" w:rsidRDefault="000A2139" w:rsidP="002D1F0A">
            <w:pPr>
              <w:contextualSpacing/>
              <w:rPr>
                <w:rFonts w:ascii="Times New Roman" w:hAnsi="Times New Roman" w:cs="Times New Roman"/>
                <w:sz w:val="20"/>
                <w:szCs w:val="20"/>
                <w:u w:val="single"/>
              </w:rPr>
            </w:pPr>
          </w:p>
          <w:p w14:paraId="60ED45F7" w14:textId="77777777" w:rsidR="000A2139" w:rsidRDefault="000A2139" w:rsidP="002D1F0A">
            <w:pPr>
              <w:contextualSpacing/>
              <w:rPr>
                <w:rFonts w:ascii="Times New Roman" w:hAnsi="Times New Roman" w:cs="Times New Roman"/>
                <w:sz w:val="20"/>
                <w:szCs w:val="20"/>
                <w:u w:val="single"/>
              </w:rPr>
            </w:pPr>
          </w:p>
          <w:p w14:paraId="09A2008E" w14:textId="007E596A" w:rsidR="000A2139" w:rsidRDefault="000A2139" w:rsidP="002D1F0A">
            <w:pPr>
              <w:contextualSpacing/>
              <w:rPr>
                <w:rFonts w:ascii="Times New Roman" w:hAnsi="Times New Roman" w:cs="Times New Roman"/>
                <w:sz w:val="20"/>
                <w:szCs w:val="20"/>
                <w:u w:val="single"/>
              </w:rPr>
            </w:pPr>
          </w:p>
          <w:p w14:paraId="26FC09AD" w14:textId="77777777" w:rsidR="000A2139" w:rsidRDefault="000A2139" w:rsidP="002D1F0A">
            <w:pPr>
              <w:contextualSpacing/>
              <w:rPr>
                <w:rFonts w:ascii="Times New Roman" w:hAnsi="Times New Roman" w:cs="Times New Roman"/>
                <w:sz w:val="20"/>
                <w:szCs w:val="20"/>
                <w:u w:val="single"/>
              </w:rPr>
            </w:pPr>
          </w:p>
          <w:p w14:paraId="5BC81992" w14:textId="77777777" w:rsidR="000A2139" w:rsidRPr="003D1041" w:rsidRDefault="000A2139" w:rsidP="002D1F0A">
            <w:pPr>
              <w:contextualSpacing/>
              <w:rPr>
                <w:rFonts w:ascii="Times New Roman" w:hAnsi="Times New Roman" w:cs="Times New Roman"/>
                <w:sz w:val="20"/>
                <w:szCs w:val="20"/>
                <w:u w:val="single"/>
              </w:rPr>
            </w:pPr>
            <w:r>
              <w:rPr>
                <w:rFonts w:ascii="Times New Roman" w:hAnsi="Times New Roman" w:cs="Times New Roman"/>
                <w:sz w:val="20"/>
                <w:szCs w:val="20"/>
                <w:u w:val="single"/>
              </w:rPr>
              <w:t xml:space="preserve">4.   </w:t>
            </w:r>
            <w:r w:rsidRPr="003D1041">
              <w:rPr>
                <w:rFonts w:ascii="Times New Roman" w:hAnsi="Times New Roman" w:cs="Times New Roman"/>
                <w:sz w:val="20"/>
                <w:szCs w:val="20"/>
                <w:u w:val="single"/>
              </w:rPr>
              <w:t>Reasonableness of premiums</w:t>
            </w:r>
          </w:p>
          <w:p w14:paraId="2689EAEE" w14:textId="77777777" w:rsidR="000A2139" w:rsidRDefault="000A2139" w:rsidP="00C82490">
            <w:pPr>
              <w:pStyle w:val="ListParagraph"/>
              <w:numPr>
                <w:ilvl w:val="0"/>
                <w:numId w:val="40"/>
              </w:numPr>
              <w:rPr>
                <w:rFonts w:ascii="Times New Roman" w:hAnsi="Times New Roman" w:cs="Times New Roman"/>
                <w:sz w:val="20"/>
                <w:szCs w:val="20"/>
              </w:rPr>
            </w:pPr>
            <w:r>
              <w:rPr>
                <w:rFonts w:ascii="Times New Roman" w:hAnsi="Times New Roman" w:cs="Times New Roman"/>
                <w:sz w:val="20"/>
                <w:szCs w:val="20"/>
              </w:rPr>
              <w:t xml:space="preserve">Court found this factor to be lacking, focusing on the fact that the actuary responsible for pricing Feedback’s policies did not price the policies based on </w:t>
            </w:r>
            <w:r w:rsidRPr="0051103E">
              <w:rPr>
                <w:rFonts w:ascii="Times New Roman" w:hAnsi="Times New Roman" w:cs="Times New Roman"/>
                <w:sz w:val="20"/>
                <w:szCs w:val="20"/>
              </w:rPr>
              <w:t xml:space="preserve">actuarially sound decision-making but </w:t>
            </w:r>
            <w:r>
              <w:rPr>
                <w:rFonts w:ascii="Times New Roman" w:hAnsi="Times New Roman" w:cs="Times New Roman"/>
                <w:sz w:val="20"/>
                <w:szCs w:val="20"/>
              </w:rPr>
              <w:t xml:space="preserve">aimed his pricing at </w:t>
            </w:r>
            <w:r w:rsidRPr="00322E27">
              <w:rPr>
                <w:rFonts w:ascii="Times New Roman" w:hAnsi="Times New Roman" w:cs="Times New Roman"/>
                <w:b/>
                <w:sz w:val="20"/>
                <w:szCs w:val="20"/>
              </w:rPr>
              <w:t>reaching a “target premium</w:t>
            </w:r>
            <w:r>
              <w:rPr>
                <w:rFonts w:ascii="Times New Roman" w:hAnsi="Times New Roman" w:cs="Times New Roman"/>
                <w:sz w:val="20"/>
                <w:szCs w:val="20"/>
              </w:rPr>
              <w:t xml:space="preserve"> of </w:t>
            </w:r>
            <w:r w:rsidRPr="0051103E">
              <w:rPr>
                <w:rFonts w:ascii="Times New Roman" w:hAnsi="Times New Roman" w:cs="Times New Roman"/>
                <w:sz w:val="20"/>
                <w:szCs w:val="20"/>
              </w:rPr>
              <w:t>$1.2 million</w:t>
            </w:r>
            <w:r>
              <w:rPr>
                <w:rFonts w:ascii="Times New Roman" w:hAnsi="Times New Roman" w:cs="Times New Roman"/>
                <w:sz w:val="20"/>
                <w:szCs w:val="20"/>
              </w:rPr>
              <w:t xml:space="preserve"> (the target) </w:t>
            </w:r>
            <w:r w:rsidRPr="0051103E">
              <w:rPr>
                <w:rFonts w:ascii="Times New Roman" w:hAnsi="Times New Roman" w:cs="Times New Roman"/>
                <w:sz w:val="20"/>
                <w:szCs w:val="20"/>
              </w:rPr>
              <w:t>without going over.</w:t>
            </w:r>
          </w:p>
          <w:p w14:paraId="14066DBA" w14:textId="77777777" w:rsidR="000A2139" w:rsidRDefault="000A2139" w:rsidP="00213B57">
            <w:pPr>
              <w:rPr>
                <w:rFonts w:ascii="Times New Roman" w:hAnsi="Times New Roman" w:cs="Times New Roman"/>
                <w:sz w:val="20"/>
                <w:szCs w:val="20"/>
              </w:rPr>
            </w:pPr>
          </w:p>
          <w:p w14:paraId="55AC3410" w14:textId="77777777" w:rsidR="000A2139" w:rsidRDefault="000A2139" w:rsidP="00213B57">
            <w:pPr>
              <w:rPr>
                <w:rFonts w:ascii="Times New Roman" w:hAnsi="Times New Roman" w:cs="Times New Roman"/>
                <w:sz w:val="20"/>
                <w:szCs w:val="20"/>
              </w:rPr>
            </w:pPr>
          </w:p>
          <w:p w14:paraId="4A562C31" w14:textId="77777777" w:rsidR="000A2139" w:rsidRDefault="000A2139" w:rsidP="002D1F0A">
            <w:pPr>
              <w:contextualSpacing/>
              <w:rPr>
                <w:rFonts w:ascii="Times New Roman" w:hAnsi="Times New Roman" w:cs="Times New Roman"/>
                <w:sz w:val="20"/>
                <w:szCs w:val="20"/>
                <w:u w:val="single"/>
              </w:rPr>
            </w:pPr>
          </w:p>
          <w:p w14:paraId="66EA4098" w14:textId="77777777" w:rsidR="000A2139" w:rsidRDefault="000A2139" w:rsidP="002D1F0A">
            <w:pPr>
              <w:contextualSpacing/>
              <w:rPr>
                <w:rFonts w:ascii="Times New Roman" w:hAnsi="Times New Roman" w:cs="Times New Roman"/>
                <w:sz w:val="20"/>
                <w:szCs w:val="20"/>
                <w:u w:val="single"/>
              </w:rPr>
            </w:pPr>
          </w:p>
          <w:p w14:paraId="43BCFD88" w14:textId="77777777" w:rsidR="000A2139" w:rsidRDefault="000A2139" w:rsidP="002D1F0A">
            <w:pPr>
              <w:contextualSpacing/>
              <w:rPr>
                <w:rFonts w:ascii="Times New Roman" w:hAnsi="Times New Roman" w:cs="Times New Roman"/>
                <w:sz w:val="20"/>
                <w:szCs w:val="20"/>
                <w:u w:val="single"/>
              </w:rPr>
            </w:pPr>
          </w:p>
          <w:p w14:paraId="44571CFA" w14:textId="77777777" w:rsidR="000A2139" w:rsidRDefault="000A2139" w:rsidP="002D1F0A">
            <w:pPr>
              <w:contextualSpacing/>
              <w:rPr>
                <w:rFonts w:ascii="Times New Roman" w:hAnsi="Times New Roman" w:cs="Times New Roman"/>
                <w:sz w:val="20"/>
                <w:szCs w:val="20"/>
                <w:u w:val="single"/>
              </w:rPr>
            </w:pPr>
          </w:p>
          <w:p w14:paraId="5CFF831A" w14:textId="77777777" w:rsidR="000A2139" w:rsidRDefault="000A2139" w:rsidP="002D1F0A">
            <w:pPr>
              <w:contextualSpacing/>
              <w:rPr>
                <w:rFonts w:ascii="Times New Roman" w:hAnsi="Times New Roman" w:cs="Times New Roman"/>
                <w:sz w:val="20"/>
                <w:szCs w:val="20"/>
                <w:u w:val="single"/>
              </w:rPr>
            </w:pPr>
          </w:p>
          <w:p w14:paraId="515565F2" w14:textId="77777777" w:rsidR="000A2139" w:rsidRDefault="000A2139" w:rsidP="002D1F0A">
            <w:pPr>
              <w:contextualSpacing/>
              <w:rPr>
                <w:rFonts w:ascii="Times New Roman" w:hAnsi="Times New Roman" w:cs="Times New Roman"/>
                <w:sz w:val="20"/>
                <w:szCs w:val="20"/>
                <w:u w:val="single"/>
              </w:rPr>
            </w:pPr>
          </w:p>
          <w:p w14:paraId="5434C529" w14:textId="77777777" w:rsidR="000A2139" w:rsidRDefault="000A2139" w:rsidP="002D1F0A">
            <w:pPr>
              <w:contextualSpacing/>
              <w:rPr>
                <w:rFonts w:ascii="Times New Roman" w:hAnsi="Times New Roman" w:cs="Times New Roman"/>
                <w:sz w:val="20"/>
                <w:szCs w:val="20"/>
                <w:u w:val="single"/>
              </w:rPr>
            </w:pPr>
          </w:p>
          <w:p w14:paraId="077CA458" w14:textId="77777777" w:rsidR="000A2139" w:rsidRDefault="000A2139" w:rsidP="002D1F0A">
            <w:pPr>
              <w:contextualSpacing/>
              <w:rPr>
                <w:rFonts w:ascii="Times New Roman" w:hAnsi="Times New Roman" w:cs="Times New Roman"/>
                <w:sz w:val="20"/>
                <w:szCs w:val="20"/>
                <w:u w:val="single"/>
              </w:rPr>
            </w:pPr>
          </w:p>
          <w:p w14:paraId="53B96D67" w14:textId="77777777" w:rsidR="000A2139" w:rsidRDefault="000A2139" w:rsidP="002D1F0A">
            <w:pPr>
              <w:contextualSpacing/>
              <w:rPr>
                <w:rFonts w:ascii="Times New Roman" w:hAnsi="Times New Roman" w:cs="Times New Roman"/>
                <w:sz w:val="20"/>
                <w:szCs w:val="20"/>
                <w:u w:val="single"/>
              </w:rPr>
            </w:pPr>
          </w:p>
          <w:p w14:paraId="0BA6F36B" w14:textId="77777777" w:rsidR="000A2139" w:rsidRDefault="000A2139" w:rsidP="002D1F0A">
            <w:pPr>
              <w:contextualSpacing/>
              <w:rPr>
                <w:rFonts w:ascii="Times New Roman" w:hAnsi="Times New Roman" w:cs="Times New Roman"/>
                <w:sz w:val="20"/>
                <w:szCs w:val="20"/>
                <w:u w:val="single"/>
              </w:rPr>
            </w:pPr>
          </w:p>
          <w:p w14:paraId="1ED51209" w14:textId="77777777" w:rsidR="000A2139" w:rsidRDefault="000A2139" w:rsidP="002D1F0A">
            <w:pPr>
              <w:contextualSpacing/>
              <w:rPr>
                <w:rFonts w:ascii="Times New Roman" w:hAnsi="Times New Roman" w:cs="Times New Roman"/>
                <w:sz w:val="20"/>
                <w:szCs w:val="20"/>
                <w:u w:val="single"/>
              </w:rPr>
            </w:pPr>
          </w:p>
          <w:p w14:paraId="6F21A5A7" w14:textId="77777777" w:rsidR="000A2139" w:rsidRDefault="000A2139" w:rsidP="002D1F0A">
            <w:pPr>
              <w:contextualSpacing/>
              <w:rPr>
                <w:rFonts w:ascii="Times New Roman" w:hAnsi="Times New Roman" w:cs="Times New Roman"/>
                <w:sz w:val="20"/>
                <w:szCs w:val="20"/>
                <w:u w:val="single"/>
              </w:rPr>
            </w:pPr>
          </w:p>
          <w:p w14:paraId="78DCF552" w14:textId="77777777" w:rsidR="000A2139" w:rsidRDefault="000A2139" w:rsidP="002D1F0A">
            <w:pPr>
              <w:contextualSpacing/>
              <w:rPr>
                <w:rFonts w:ascii="Times New Roman" w:hAnsi="Times New Roman" w:cs="Times New Roman"/>
                <w:sz w:val="20"/>
                <w:szCs w:val="20"/>
                <w:u w:val="single"/>
              </w:rPr>
            </w:pPr>
          </w:p>
          <w:p w14:paraId="4FBC3C28" w14:textId="77777777" w:rsidR="000A2139" w:rsidRDefault="000A2139" w:rsidP="002D1F0A">
            <w:pPr>
              <w:contextualSpacing/>
              <w:rPr>
                <w:rFonts w:ascii="Times New Roman" w:hAnsi="Times New Roman" w:cs="Times New Roman"/>
                <w:sz w:val="20"/>
                <w:szCs w:val="20"/>
                <w:u w:val="single"/>
              </w:rPr>
            </w:pPr>
          </w:p>
          <w:p w14:paraId="035C9DA1" w14:textId="1A6F1A7C" w:rsidR="000A2139" w:rsidRDefault="000A2139" w:rsidP="002D1F0A">
            <w:pPr>
              <w:contextualSpacing/>
              <w:rPr>
                <w:rFonts w:ascii="Times New Roman" w:hAnsi="Times New Roman" w:cs="Times New Roman"/>
                <w:sz w:val="20"/>
                <w:szCs w:val="20"/>
                <w:u w:val="single"/>
              </w:rPr>
            </w:pPr>
          </w:p>
          <w:p w14:paraId="3357B4D4" w14:textId="77777777" w:rsidR="000A2139" w:rsidRDefault="000A2139" w:rsidP="002D1F0A">
            <w:pPr>
              <w:contextualSpacing/>
              <w:rPr>
                <w:rFonts w:ascii="Times New Roman" w:hAnsi="Times New Roman" w:cs="Times New Roman"/>
                <w:sz w:val="20"/>
                <w:szCs w:val="20"/>
                <w:u w:val="single"/>
              </w:rPr>
            </w:pPr>
          </w:p>
          <w:p w14:paraId="1317EDD3" w14:textId="77777777" w:rsidR="000A2139" w:rsidRDefault="000A2139" w:rsidP="002D1F0A">
            <w:pPr>
              <w:contextualSpacing/>
              <w:rPr>
                <w:rFonts w:ascii="Times New Roman" w:hAnsi="Times New Roman" w:cs="Times New Roman"/>
                <w:sz w:val="20"/>
                <w:szCs w:val="20"/>
                <w:u w:val="single"/>
              </w:rPr>
            </w:pPr>
          </w:p>
          <w:p w14:paraId="180B844F" w14:textId="77777777" w:rsidR="000A2139" w:rsidRDefault="000A2139" w:rsidP="002D1F0A">
            <w:pPr>
              <w:contextualSpacing/>
              <w:rPr>
                <w:rFonts w:ascii="Times New Roman" w:hAnsi="Times New Roman" w:cs="Times New Roman"/>
                <w:sz w:val="20"/>
                <w:szCs w:val="20"/>
                <w:u w:val="single"/>
              </w:rPr>
            </w:pPr>
          </w:p>
          <w:p w14:paraId="0CDF7736" w14:textId="77777777" w:rsidR="000A2139" w:rsidRPr="003D1041" w:rsidRDefault="000A2139" w:rsidP="002D1F0A">
            <w:pPr>
              <w:contextualSpacing/>
              <w:rPr>
                <w:rFonts w:ascii="Times New Roman" w:hAnsi="Times New Roman" w:cs="Times New Roman"/>
                <w:sz w:val="20"/>
                <w:szCs w:val="20"/>
                <w:u w:val="single"/>
              </w:rPr>
            </w:pPr>
            <w:r>
              <w:rPr>
                <w:rFonts w:ascii="Times New Roman" w:hAnsi="Times New Roman" w:cs="Times New Roman"/>
                <w:sz w:val="20"/>
                <w:szCs w:val="20"/>
                <w:u w:val="single"/>
              </w:rPr>
              <w:t xml:space="preserve">(5) </w:t>
            </w:r>
            <w:r w:rsidRPr="003D1041">
              <w:rPr>
                <w:rFonts w:ascii="Times New Roman" w:hAnsi="Times New Roman" w:cs="Times New Roman"/>
                <w:sz w:val="20"/>
                <w:szCs w:val="20"/>
                <w:u w:val="single"/>
              </w:rPr>
              <w:t>Payment of claims</w:t>
            </w:r>
          </w:p>
          <w:p w14:paraId="73ED020B" w14:textId="77777777" w:rsidR="000A2139" w:rsidRPr="003D1041" w:rsidRDefault="000A2139" w:rsidP="00C82490">
            <w:pPr>
              <w:pStyle w:val="ListParagraph"/>
              <w:numPr>
                <w:ilvl w:val="0"/>
                <w:numId w:val="42"/>
              </w:numPr>
              <w:rPr>
                <w:rFonts w:ascii="Times New Roman" w:hAnsi="Times New Roman" w:cs="Times New Roman"/>
                <w:sz w:val="20"/>
                <w:szCs w:val="20"/>
              </w:rPr>
            </w:pPr>
            <w:r>
              <w:rPr>
                <w:rFonts w:ascii="Times New Roman" w:hAnsi="Times New Roman" w:cs="Times New Roman"/>
                <w:sz w:val="20"/>
                <w:szCs w:val="20"/>
              </w:rPr>
              <w:t xml:space="preserve">Court found this factor to be present, but it noted that the Avrahamis’ entities only began filing claims against Feedback </w:t>
            </w:r>
            <w:r w:rsidRPr="0058680D">
              <w:rPr>
                <w:rFonts w:ascii="Times New Roman" w:hAnsi="Times New Roman" w:cs="Times New Roman"/>
                <w:b/>
                <w:sz w:val="20"/>
                <w:szCs w:val="20"/>
                <w:u w:val="single"/>
              </w:rPr>
              <w:t>after</w:t>
            </w:r>
            <w:r>
              <w:rPr>
                <w:rFonts w:ascii="Times New Roman" w:hAnsi="Times New Roman" w:cs="Times New Roman"/>
                <w:sz w:val="20"/>
                <w:szCs w:val="20"/>
              </w:rPr>
              <w:t xml:space="preserve"> the IRS began its audit of the captive arrangement.</w:t>
            </w:r>
          </w:p>
          <w:p w14:paraId="66745F5F" w14:textId="77777777" w:rsidR="000A2139" w:rsidRPr="003D1041" w:rsidRDefault="000A2139" w:rsidP="00CF4DC2">
            <w:pPr>
              <w:rPr>
                <w:rFonts w:ascii="Times New Roman" w:hAnsi="Times New Roman" w:cs="Times New Roman"/>
                <w:sz w:val="20"/>
                <w:szCs w:val="20"/>
              </w:rPr>
            </w:pPr>
          </w:p>
          <w:p w14:paraId="197BB7A0" w14:textId="77777777" w:rsidR="000A2139" w:rsidRPr="00923098" w:rsidRDefault="000A2139" w:rsidP="00923098">
            <w:pPr>
              <w:ind w:left="216"/>
              <w:contextualSpacing/>
              <w:rPr>
                <w:rFonts w:ascii="Times New Roman" w:hAnsi="Times New Roman" w:cs="Times New Roman"/>
                <w:sz w:val="20"/>
                <w:szCs w:val="20"/>
              </w:rPr>
            </w:pPr>
          </w:p>
          <w:p w14:paraId="3A402F1F" w14:textId="77777777" w:rsidR="000A2139" w:rsidRPr="00923098" w:rsidRDefault="000A2139" w:rsidP="00923098">
            <w:pPr>
              <w:ind w:left="216"/>
              <w:contextualSpacing/>
              <w:rPr>
                <w:rFonts w:ascii="Times New Roman" w:hAnsi="Times New Roman" w:cs="Times New Roman"/>
                <w:sz w:val="20"/>
                <w:szCs w:val="20"/>
              </w:rPr>
            </w:pPr>
          </w:p>
          <w:p w14:paraId="4B5C825E" w14:textId="77777777" w:rsidR="000A2139" w:rsidRPr="00923098" w:rsidRDefault="000A2139" w:rsidP="00923098">
            <w:pPr>
              <w:ind w:left="216"/>
              <w:contextualSpacing/>
              <w:rPr>
                <w:rFonts w:ascii="Times New Roman" w:hAnsi="Times New Roman" w:cs="Times New Roman"/>
                <w:sz w:val="20"/>
                <w:szCs w:val="20"/>
              </w:rPr>
            </w:pPr>
          </w:p>
          <w:p w14:paraId="37021C47" w14:textId="77777777" w:rsidR="000A2139" w:rsidRPr="00923098" w:rsidRDefault="000A2139" w:rsidP="00923098">
            <w:pPr>
              <w:ind w:left="216"/>
              <w:contextualSpacing/>
              <w:rPr>
                <w:rFonts w:ascii="Times New Roman" w:hAnsi="Times New Roman" w:cs="Times New Roman"/>
                <w:sz w:val="20"/>
                <w:szCs w:val="20"/>
              </w:rPr>
            </w:pPr>
          </w:p>
          <w:p w14:paraId="6703983F" w14:textId="77777777" w:rsidR="000A2139" w:rsidRPr="00923098" w:rsidRDefault="000A2139" w:rsidP="00923098">
            <w:pPr>
              <w:ind w:left="216"/>
              <w:contextualSpacing/>
              <w:rPr>
                <w:rFonts w:ascii="Times New Roman" w:hAnsi="Times New Roman" w:cs="Times New Roman"/>
                <w:sz w:val="20"/>
                <w:szCs w:val="20"/>
              </w:rPr>
            </w:pPr>
          </w:p>
          <w:p w14:paraId="0FF49B88" w14:textId="77777777" w:rsidR="000A2139" w:rsidRDefault="000A2139" w:rsidP="00923098">
            <w:pPr>
              <w:ind w:left="216"/>
              <w:contextualSpacing/>
              <w:rPr>
                <w:rFonts w:ascii="Times New Roman" w:hAnsi="Times New Roman" w:cs="Times New Roman"/>
                <w:sz w:val="20"/>
                <w:szCs w:val="20"/>
              </w:rPr>
            </w:pPr>
          </w:p>
          <w:p w14:paraId="35FF6070" w14:textId="77777777" w:rsidR="000A2139" w:rsidRDefault="000A2139" w:rsidP="00923098">
            <w:pPr>
              <w:ind w:left="216"/>
              <w:contextualSpacing/>
              <w:rPr>
                <w:rFonts w:ascii="Times New Roman" w:hAnsi="Times New Roman" w:cs="Times New Roman"/>
                <w:sz w:val="20"/>
                <w:szCs w:val="20"/>
              </w:rPr>
            </w:pPr>
          </w:p>
          <w:p w14:paraId="670ECC59" w14:textId="77777777" w:rsidR="000A2139" w:rsidRPr="00A96EB9" w:rsidRDefault="000A2139" w:rsidP="00590536">
            <w:pPr>
              <w:contextualSpacing/>
              <w:rPr>
                <w:rFonts w:ascii="Times New Roman" w:hAnsi="Times New Roman" w:cs="Times New Roman"/>
                <w:sz w:val="20"/>
                <w:szCs w:val="20"/>
              </w:rPr>
            </w:pPr>
          </w:p>
          <w:p w14:paraId="3DC255B0" w14:textId="77777777" w:rsidR="000A2139" w:rsidRPr="003D1041" w:rsidRDefault="000A2139" w:rsidP="005C6D3B">
            <w:pPr>
              <w:numPr>
                <w:ilvl w:val="0"/>
                <w:numId w:val="1"/>
              </w:numPr>
              <w:contextualSpacing/>
              <w:rPr>
                <w:rFonts w:ascii="Times New Roman" w:hAnsi="Times New Roman" w:cs="Times New Roman"/>
                <w:sz w:val="20"/>
                <w:szCs w:val="20"/>
              </w:rPr>
            </w:pPr>
            <w:r w:rsidRPr="0058680D">
              <w:rPr>
                <w:rFonts w:ascii="Times New Roman" w:hAnsi="Times New Roman" w:cs="Times New Roman"/>
                <w:b/>
                <w:sz w:val="20"/>
                <w:szCs w:val="20"/>
                <w:u w:val="single"/>
              </w:rPr>
              <w:t>Conclusion</w:t>
            </w:r>
            <w:r w:rsidRPr="003D1041">
              <w:rPr>
                <w:rFonts w:ascii="Times New Roman" w:hAnsi="Times New Roman" w:cs="Times New Roman"/>
                <w:sz w:val="20"/>
                <w:szCs w:val="20"/>
              </w:rPr>
              <w:t>: Feedback’s transactions were not insurance in the commonly accepted sense.</w:t>
            </w:r>
            <w:r w:rsidRPr="003D1041">
              <w:rPr>
                <w:rFonts w:ascii="Times New Roman" w:hAnsi="Times New Roman" w:cs="Times New Roman"/>
                <w:sz w:val="20"/>
                <w:szCs w:val="20"/>
                <w:vertAlign w:val="superscript"/>
              </w:rPr>
              <w:endnoteReference w:id="21"/>
            </w:r>
          </w:p>
        </w:tc>
        <w:tc>
          <w:tcPr>
            <w:tcW w:w="4675" w:type="dxa"/>
          </w:tcPr>
          <w:p w14:paraId="635E153B" w14:textId="77777777" w:rsidR="000A2139" w:rsidRPr="007F56A1" w:rsidRDefault="000A2139" w:rsidP="00CF4DC2">
            <w:pPr>
              <w:rPr>
                <w:rFonts w:ascii="Times New Roman" w:hAnsi="Times New Roman" w:cs="Times New Roman"/>
                <w:sz w:val="20"/>
                <w:szCs w:val="20"/>
                <w:u w:val="single"/>
              </w:rPr>
            </w:pPr>
            <w:r>
              <w:rPr>
                <w:rFonts w:ascii="Times New Roman" w:hAnsi="Times New Roman" w:cs="Times New Roman"/>
                <w:sz w:val="20"/>
                <w:szCs w:val="20"/>
                <w:u w:val="single"/>
              </w:rPr>
              <w:lastRenderedPageBreak/>
              <w:t>Same Five Factors Considered by Kerrigan Court</w:t>
            </w:r>
          </w:p>
          <w:p w14:paraId="2B615F89" w14:textId="21A8F87F" w:rsidR="000A2139" w:rsidRPr="007B1CA7" w:rsidRDefault="000A2139" w:rsidP="00B962B4">
            <w:pPr>
              <w:pStyle w:val="ListParagraph"/>
              <w:ind w:left="432"/>
              <w:rPr>
                <w:rFonts w:ascii="Times New Roman" w:hAnsi="Times New Roman" w:cs="Times New Roman"/>
                <w:sz w:val="20"/>
                <w:szCs w:val="20"/>
              </w:rPr>
            </w:pPr>
            <w:r w:rsidRPr="00FA50D3">
              <w:rPr>
                <w:rFonts w:ascii="Times New Roman" w:hAnsi="Times New Roman" w:cs="Times New Roman"/>
                <w:sz w:val="20"/>
                <w:szCs w:val="20"/>
              </w:rPr>
              <w:t xml:space="preserve">Court applied </w:t>
            </w:r>
            <w:r w:rsidRPr="00FA50D3">
              <w:rPr>
                <w:rFonts w:ascii="Times New Roman" w:hAnsi="Times New Roman" w:cs="Times New Roman"/>
                <w:b/>
                <w:sz w:val="20"/>
                <w:szCs w:val="20"/>
              </w:rPr>
              <w:t>same five</w:t>
            </w:r>
            <w:r w:rsidR="00D27493">
              <w:rPr>
                <w:rFonts w:ascii="Times New Roman" w:hAnsi="Times New Roman" w:cs="Times New Roman"/>
                <w:b/>
                <w:sz w:val="20"/>
                <w:szCs w:val="20"/>
              </w:rPr>
              <w:t>-</w:t>
            </w:r>
            <w:r w:rsidRPr="00FA50D3">
              <w:rPr>
                <w:rFonts w:ascii="Times New Roman" w:hAnsi="Times New Roman" w:cs="Times New Roman"/>
                <w:b/>
                <w:sz w:val="20"/>
                <w:szCs w:val="20"/>
              </w:rPr>
              <w:t>facto</w:t>
            </w:r>
            <w:r>
              <w:rPr>
                <w:rFonts w:ascii="Times New Roman" w:hAnsi="Times New Roman" w:cs="Times New Roman"/>
                <w:b/>
                <w:sz w:val="20"/>
                <w:szCs w:val="20"/>
              </w:rPr>
              <w:t>r test</w:t>
            </w:r>
            <w:r w:rsidRPr="00FA50D3">
              <w:rPr>
                <w:rFonts w:ascii="Times New Roman" w:hAnsi="Times New Roman" w:cs="Times New Roman"/>
                <w:sz w:val="20"/>
                <w:szCs w:val="20"/>
              </w:rPr>
              <w:t>.</w:t>
            </w:r>
            <w:r w:rsidRPr="003D1041">
              <w:rPr>
                <w:vertAlign w:val="superscript"/>
              </w:rPr>
              <w:endnoteReference w:id="22"/>
            </w:r>
          </w:p>
          <w:p w14:paraId="519AE236" w14:textId="77777777" w:rsidR="000A2139" w:rsidRDefault="000A2139" w:rsidP="007B41A0">
            <w:pPr>
              <w:ind w:left="72"/>
              <w:contextualSpacing/>
              <w:rPr>
                <w:rFonts w:ascii="Times New Roman" w:hAnsi="Times New Roman" w:cs="Times New Roman"/>
                <w:sz w:val="20"/>
                <w:szCs w:val="20"/>
                <w:u w:val="single"/>
              </w:rPr>
            </w:pPr>
          </w:p>
          <w:p w14:paraId="3DE50A7C" w14:textId="77777777" w:rsidR="000A2139" w:rsidRDefault="000A2139" w:rsidP="007B41A0">
            <w:pPr>
              <w:ind w:left="72"/>
              <w:contextualSpacing/>
              <w:rPr>
                <w:rFonts w:ascii="Times New Roman" w:hAnsi="Times New Roman" w:cs="Times New Roman"/>
                <w:sz w:val="20"/>
                <w:szCs w:val="20"/>
                <w:u w:val="single"/>
              </w:rPr>
            </w:pPr>
          </w:p>
          <w:p w14:paraId="16CFFADC" w14:textId="77777777" w:rsidR="000A2139" w:rsidRDefault="000A2139" w:rsidP="007B41A0">
            <w:pPr>
              <w:ind w:left="72"/>
              <w:contextualSpacing/>
              <w:rPr>
                <w:rFonts w:ascii="Times New Roman" w:hAnsi="Times New Roman" w:cs="Times New Roman"/>
                <w:sz w:val="20"/>
                <w:szCs w:val="20"/>
                <w:u w:val="single"/>
              </w:rPr>
            </w:pPr>
          </w:p>
          <w:p w14:paraId="43D78C29" w14:textId="77777777" w:rsidR="000A2139" w:rsidRDefault="000A2139" w:rsidP="007B41A0">
            <w:pPr>
              <w:ind w:left="72"/>
              <w:contextualSpacing/>
              <w:rPr>
                <w:rFonts w:ascii="Times New Roman" w:hAnsi="Times New Roman" w:cs="Times New Roman"/>
                <w:sz w:val="20"/>
                <w:szCs w:val="20"/>
                <w:u w:val="single"/>
              </w:rPr>
            </w:pPr>
          </w:p>
          <w:p w14:paraId="3F28CA40" w14:textId="77777777" w:rsidR="000A2139" w:rsidRPr="00E44F63" w:rsidRDefault="000A2139" w:rsidP="007B41A0">
            <w:pPr>
              <w:ind w:left="72"/>
              <w:contextualSpacing/>
              <w:rPr>
                <w:rFonts w:ascii="Times New Roman" w:hAnsi="Times New Roman" w:cs="Times New Roman"/>
                <w:sz w:val="20"/>
                <w:szCs w:val="20"/>
              </w:rPr>
            </w:pPr>
            <w:r w:rsidRPr="00E44F63">
              <w:rPr>
                <w:rFonts w:ascii="Times New Roman" w:hAnsi="Times New Roman" w:cs="Times New Roman"/>
                <w:sz w:val="20"/>
                <w:szCs w:val="20"/>
              </w:rPr>
              <w:t>Each material factor is analyzed below:</w:t>
            </w:r>
          </w:p>
          <w:p w14:paraId="1AE3CC6C" w14:textId="77777777" w:rsidR="000A2139" w:rsidRDefault="000A2139" w:rsidP="007B41A0">
            <w:pPr>
              <w:ind w:left="72"/>
              <w:contextualSpacing/>
              <w:rPr>
                <w:rFonts w:ascii="Times New Roman" w:hAnsi="Times New Roman" w:cs="Times New Roman"/>
                <w:sz w:val="20"/>
                <w:szCs w:val="20"/>
                <w:u w:val="single"/>
              </w:rPr>
            </w:pPr>
          </w:p>
          <w:p w14:paraId="3026168A" w14:textId="77777777" w:rsidR="000A2139" w:rsidRPr="003D1041" w:rsidRDefault="000A2139" w:rsidP="007B41A0">
            <w:pPr>
              <w:ind w:left="72"/>
              <w:contextualSpacing/>
              <w:rPr>
                <w:rFonts w:ascii="Times New Roman" w:hAnsi="Times New Roman" w:cs="Times New Roman"/>
                <w:sz w:val="20"/>
                <w:szCs w:val="20"/>
                <w:u w:val="single"/>
              </w:rPr>
            </w:pPr>
            <w:r>
              <w:rPr>
                <w:rFonts w:ascii="Times New Roman" w:hAnsi="Times New Roman" w:cs="Times New Roman"/>
                <w:sz w:val="20"/>
                <w:szCs w:val="20"/>
                <w:u w:val="single"/>
              </w:rPr>
              <w:t xml:space="preserve">1.  </w:t>
            </w:r>
            <w:r w:rsidRPr="003D1041">
              <w:rPr>
                <w:rFonts w:ascii="Times New Roman" w:hAnsi="Times New Roman" w:cs="Times New Roman"/>
                <w:sz w:val="20"/>
                <w:szCs w:val="20"/>
                <w:u w:val="single"/>
              </w:rPr>
              <w:t>Organization, operation, and regulation</w:t>
            </w:r>
          </w:p>
          <w:p w14:paraId="403B74AA" w14:textId="6382692D" w:rsidR="000A2139" w:rsidRPr="008E7BF9" w:rsidRDefault="000A2139" w:rsidP="008E7BF9">
            <w:pPr>
              <w:pStyle w:val="ListParagraph"/>
              <w:numPr>
                <w:ilvl w:val="0"/>
                <w:numId w:val="35"/>
              </w:numPr>
              <w:rPr>
                <w:rFonts w:ascii="Times New Roman" w:hAnsi="Times New Roman" w:cs="Times New Roman"/>
                <w:sz w:val="20"/>
                <w:szCs w:val="20"/>
              </w:rPr>
            </w:pPr>
            <w:r w:rsidRPr="003D1041">
              <w:rPr>
                <w:rFonts w:ascii="Times New Roman" w:hAnsi="Times New Roman" w:cs="Times New Roman"/>
                <w:sz w:val="20"/>
                <w:szCs w:val="20"/>
              </w:rPr>
              <w:t>Court found this factor to be lacking</w:t>
            </w:r>
            <w:r>
              <w:rPr>
                <w:rFonts w:ascii="Times New Roman" w:hAnsi="Times New Roman" w:cs="Times New Roman"/>
                <w:sz w:val="20"/>
                <w:szCs w:val="20"/>
              </w:rPr>
              <w:t xml:space="preserve">, ignoring the evidence that: </w:t>
            </w:r>
            <w:r w:rsidRPr="003D1041">
              <w:rPr>
                <w:rFonts w:ascii="Times New Roman" w:hAnsi="Times New Roman" w:cs="Times New Roman"/>
                <w:sz w:val="20"/>
                <w:szCs w:val="20"/>
              </w:rPr>
              <w:t>(1)</w:t>
            </w:r>
            <w:r>
              <w:rPr>
                <w:rFonts w:ascii="Times New Roman" w:hAnsi="Times New Roman" w:cs="Times New Roman"/>
                <w:sz w:val="20"/>
                <w:szCs w:val="20"/>
              </w:rPr>
              <w:t xml:space="preserve"> Reserve paid $339,820 in total claims to its affiliated insureds and an additional $187,891.99 to third parties (totaling $527,711.99) during the three tax years in issue, none of which were even alleged to be “ad hoc” as  in </w:t>
            </w:r>
            <w:r w:rsidRPr="008E7BF9">
              <w:rPr>
                <w:rFonts w:ascii="Times New Roman" w:hAnsi="Times New Roman" w:cs="Times New Roman"/>
                <w:i/>
                <w:sz w:val="20"/>
                <w:szCs w:val="20"/>
              </w:rPr>
              <w:t>Avrahami</w:t>
            </w:r>
            <w:r>
              <w:rPr>
                <w:rFonts w:ascii="Times New Roman" w:hAnsi="Times New Roman" w:cs="Times New Roman"/>
                <w:sz w:val="20"/>
                <w:szCs w:val="20"/>
              </w:rPr>
              <w:t xml:space="preserve">; (2) Reserve’s investments  were </w:t>
            </w:r>
            <w:r w:rsidRPr="009F6242">
              <w:rPr>
                <w:rFonts w:ascii="Times New Roman" w:hAnsi="Times New Roman" w:cs="Times New Roman"/>
                <w:sz w:val="20"/>
                <w:szCs w:val="20"/>
              </w:rPr>
              <w:t>traditional investments of insurance companies, here being cash, bank deposits and publicly traded securities, with</w:t>
            </w:r>
            <w:r>
              <w:rPr>
                <w:rFonts w:ascii="Times New Roman" w:hAnsi="Times New Roman" w:cs="Times New Roman"/>
                <w:sz w:val="20"/>
                <w:szCs w:val="20"/>
              </w:rPr>
              <w:t xml:space="preserve"> no loans to affiliates (let alone being unsecured and undocumented loans as was seen in </w:t>
            </w:r>
            <w:r w:rsidRPr="008E7BF9">
              <w:rPr>
                <w:rFonts w:ascii="Times New Roman" w:hAnsi="Times New Roman" w:cs="Times New Roman"/>
                <w:i/>
                <w:sz w:val="20"/>
                <w:szCs w:val="20"/>
              </w:rPr>
              <w:t>Avrahami</w:t>
            </w:r>
            <w:r>
              <w:rPr>
                <w:rFonts w:ascii="Times New Roman" w:hAnsi="Times New Roman" w:cs="Times New Roman"/>
                <w:sz w:val="20"/>
                <w:szCs w:val="20"/>
              </w:rPr>
              <w:t xml:space="preserve">); and (3) claims were paid, were unrelated to any IRS audit as was the suspicion in </w:t>
            </w:r>
            <w:r w:rsidRPr="008E7BF9">
              <w:rPr>
                <w:rFonts w:ascii="Times New Roman" w:hAnsi="Times New Roman" w:cs="Times New Roman"/>
                <w:i/>
                <w:sz w:val="20"/>
                <w:szCs w:val="20"/>
              </w:rPr>
              <w:t>Avrahami</w:t>
            </w:r>
            <w:r>
              <w:rPr>
                <w:rFonts w:ascii="Times New Roman" w:hAnsi="Times New Roman" w:cs="Times New Roman"/>
                <w:sz w:val="20"/>
                <w:szCs w:val="20"/>
              </w:rPr>
              <w:t xml:space="preserve">.  The bona fide nature of the claims was unchallenged. </w:t>
            </w:r>
          </w:p>
          <w:p w14:paraId="43F77101" w14:textId="6A585B77" w:rsidR="000A2139" w:rsidRPr="00751E6F" w:rsidRDefault="000A2139" w:rsidP="00751E6F">
            <w:pPr>
              <w:pStyle w:val="ListParagraph"/>
              <w:numPr>
                <w:ilvl w:val="0"/>
                <w:numId w:val="35"/>
              </w:numPr>
              <w:rPr>
                <w:rFonts w:ascii="Times New Roman" w:hAnsi="Times New Roman" w:cs="Times New Roman"/>
                <w:sz w:val="20"/>
                <w:szCs w:val="20"/>
              </w:rPr>
            </w:pPr>
            <w:r>
              <w:rPr>
                <w:rFonts w:ascii="Times New Roman" w:hAnsi="Times New Roman" w:cs="Times New Roman"/>
                <w:sz w:val="20"/>
                <w:szCs w:val="20"/>
              </w:rPr>
              <w:t xml:space="preserve">The basis cited by the Court for its ruling did not match the issue at hand and was not argued by the parties below.  </w:t>
            </w:r>
            <w:r w:rsidRPr="00C56B8D">
              <w:rPr>
                <w:rFonts w:ascii="Times New Roman" w:hAnsi="Times New Roman" w:cs="Times New Roman"/>
                <w:b/>
                <w:sz w:val="20"/>
                <w:szCs w:val="20"/>
              </w:rPr>
              <w:t xml:space="preserve">The Court improperly complained that Reserve relied on </w:t>
            </w:r>
            <w:r>
              <w:rPr>
                <w:rFonts w:ascii="Times New Roman" w:hAnsi="Times New Roman" w:cs="Times New Roman"/>
                <w:b/>
                <w:sz w:val="20"/>
                <w:szCs w:val="20"/>
              </w:rPr>
              <w:t xml:space="preserve">a </w:t>
            </w:r>
            <w:r w:rsidRPr="00C56B8D">
              <w:rPr>
                <w:rFonts w:ascii="Times New Roman" w:hAnsi="Times New Roman" w:cs="Times New Roman"/>
                <w:b/>
                <w:sz w:val="20"/>
                <w:szCs w:val="20"/>
              </w:rPr>
              <w:t>professional management team who worked at the direction of Reserve’s officers and directors.</w:t>
            </w:r>
            <w:r>
              <w:rPr>
                <w:rStyle w:val="EndnoteReference"/>
                <w:rFonts w:ascii="Times New Roman" w:hAnsi="Times New Roman" w:cs="Times New Roman"/>
                <w:sz w:val="20"/>
                <w:szCs w:val="20"/>
              </w:rPr>
              <w:endnoteReference w:id="23"/>
            </w:r>
            <w:r>
              <w:rPr>
                <w:rFonts w:ascii="Times New Roman" w:hAnsi="Times New Roman" w:cs="Times New Roman"/>
                <w:sz w:val="20"/>
                <w:szCs w:val="20"/>
              </w:rPr>
              <w:t xml:space="preserve">  The Court was clearly in error in holding that the officer was not entitled to rely on a professional management team in conducting Reserve’s operations despite Reserve’s president’s testimony that he hired a captive manager precisely to handle this specialized </w:t>
            </w:r>
            <w:r>
              <w:rPr>
                <w:rFonts w:ascii="Times New Roman" w:hAnsi="Times New Roman" w:cs="Times New Roman"/>
                <w:sz w:val="20"/>
                <w:szCs w:val="20"/>
              </w:rPr>
              <w:lastRenderedPageBreak/>
              <w:t xml:space="preserve">work.  To be sure, Anguilla and virtually every U.S. insurance commissioner mandates professional management in the form of a captive manager as a condition of licensing.    </w:t>
            </w:r>
          </w:p>
          <w:p w14:paraId="06B705A3" w14:textId="77777777" w:rsidR="000A2139" w:rsidRPr="007E1B6A" w:rsidRDefault="000A2139" w:rsidP="00C82490">
            <w:pPr>
              <w:pStyle w:val="ListParagraph"/>
              <w:numPr>
                <w:ilvl w:val="0"/>
                <w:numId w:val="35"/>
              </w:numPr>
              <w:rPr>
                <w:rFonts w:ascii="Times New Roman" w:hAnsi="Times New Roman" w:cs="Times New Roman"/>
                <w:sz w:val="20"/>
                <w:szCs w:val="20"/>
              </w:rPr>
            </w:pPr>
            <w:r w:rsidRPr="00DF729C">
              <w:rPr>
                <w:rFonts w:ascii="Times New Roman" w:hAnsi="Times New Roman" w:cs="Times New Roman"/>
                <w:b/>
                <w:sz w:val="20"/>
                <w:szCs w:val="20"/>
              </w:rPr>
              <w:t>Court</w:t>
            </w:r>
            <w:r>
              <w:rPr>
                <w:rFonts w:ascii="Times New Roman" w:hAnsi="Times New Roman" w:cs="Times New Roman"/>
                <w:b/>
                <w:sz w:val="20"/>
                <w:szCs w:val="20"/>
              </w:rPr>
              <w:t>’s focus on “lack of due diligence” disregarded</w:t>
            </w:r>
            <w:r w:rsidRPr="00DF729C">
              <w:rPr>
                <w:rFonts w:ascii="Times New Roman" w:hAnsi="Times New Roman" w:cs="Times New Roman"/>
                <w:b/>
                <w:sz w:val="20"/>
                <w:szCs w:val="20"/>
              </w:rPr>
              <w:t xml:space="preserve"> testimony of Reserve’s owner that he relied on </w:t>
            </w:r>
            <w:r>
              <w:rPr>
                <w:rFonts w:ascii="Times New Roman" w:hAnsi="Times New Roman" w:cs="Times New Roman"/>
                <w:b/>
                <w:sz w:val="20"/>
                <w:szCs w:val="20"/>
              </w:rPr>
              <w:t xml:space="preserve">the </w:t>
            </w:r>
            <w:r w:rsidRPr="00DF729C">
              <w:rPr>
                <w:rFonts w:ascii="Times New Roman" w:hAnsi="Times New Roman" w:cs="Times New Roman"/>
                <w:b/>
                <w:sz w:val="20"/>
                <w:szCs w:val="20"/>
              </w:rPr>
              <w:t xml:space="preserve">professional team </w:t>
            </w:r>
            <w:r>
              <w:rPr>
                <w:rFonts w:ascii="Times New Roman" w:hAnsi="Times New Roman" w:cs="Times New Roman"/>
                <w:b/>
                <w:sz w:val="20"/>
                <w:szCs w:val="20"/>
              </w:rPr>
              <w:t xml:space="preserve">to advise him on decisions relating to </w:t>
            </w:r>
            <w:r w:rsidRPr="00DF729C">
              <w:rPr>
                <w:rFonts w:ascii="Times New Roman" w:hAnsi="Times New Roman" w:cs="Times New Roman"/>
                <w:b/>
                <w:sz w:val="20"/>
                <w:szCs w:val="20"/>
              </w:rPr>
              <w:t>Reserve’s operational matters</w:t>
            </w:r>
            <w:r>
              <w:rPr>
                <w:rFonts w:ascii="Times New Roman" w:hAnsi="Times New Roman" w:cs="Times New Roman"/>
                <w:sz w:val="20"/>
                <w:szCs w:val="20"/>
              </w:rPr>
              <w:t>.</w:t>
            </w:r>
          </w:p>
          <w:p w14:paraId="366002A0" w14:textId="77777777" w:rsidR="000A2139" w:rsidRDefault="000A2139" w:rsidP="00EE3CC3">
            <w:pPr>
              <w:contextualSpacing/>
              <w:rPr>
                <w:rFonts w:ascii="Times New Roman" w:hAnsi="Times New Roman" w:cs="Times New Roman"/>
                <w:sz w:val="20"/>
                <w:szCs w:val="20"/>
                <w:u w:val="single"/>
              </w:rPr>
            </w:pPr>
          </w:p>
          <w:p w14:paraId="1C5187BF" w14:textId="77777777" w:rsidR="000A2139" w:rsidRPr="006C2549" w:rsidRDefault="000A2139" w:rsidP="006C2549">
            <w:pPr>
              <w:rPr>
                <w:rFonts w:ascii="Times New Roman" w:hAnsi="Times New Roman" w:cs="Times New Roman"/>
                <w:sz w:val="20"/>
                <w:szCs w:val="20"/>
                <w:u w:val="single"/>
              </w:rPr>
            </w:pPr>
            <w:r>
              <w:rPr>
                <w:rFonts w:ascii="Times New Roman" w:hAnsi="Times New Roman" w:cs="Times New Roman"/>
                <w:sz w:val="20"/>
                <w:szCs w:val="20"/>
                <w:u w:val="single"/>
              </w:rPr>
              <w:t>3.</w:t>
            </w:r>
            <w:r w:rsidRPr="006C2549">
              <w:rPr>
                <w:rFonts w:ascii="Times New Roman" w:hAnsi="Times New Roman" w:cs="Times New Roman"/>
                <w:sz w:val="20"/>
                <w:szCs w:val="20"/>
                <w:u w:val="single"/>
              </w:rPr>
              <w:t xml:space="preserve"> </w:t>
            </w:r>
            <w:r>
              <w:rPr>
                <w:rFonts w:ascii="Times New Roman" w:hAnsi="Times New Roman" w:cs="Times New Roman"/>
                <w:sz w:val="20"/>
                <w:szCs w:val="20"/>
                <w:u w:val="single"/>
              </w:rPr>
              <w:t xml:space="preserve"> </w:t>
            </w:r>
            <w:r w:rsidRPr="006C2549">
              <w:rPr>
                <w:rFonts w:ascii="Times New Roman" w:hAnsi="Times New Roman" w:cs="Times New Roman"/>
                <w:sz w:val="20"/>
                <w:szCs w:val="20"/>
                <w:u w:val="single"/>
              </w:rPr>
              <w:t>Valid and binding policies</w:t>
            </w:r>
          </w:p>
          <w:p w14:paraId="7ED17922" w14:textId="77777777" w:rsidR="000A2139" w:rsidRDefault="000A2139" w:rsidP="00B422E8">
            <w:pPr>
              <w:pStyle w:val="ListParagraph"/>
              <w:ind w:left="432"/>
              <w:rPr>
                <w:rFonts w:ascii="Times New Roman" w:hAnsi="Times New Roman" w:cs="Times New Roman"/>
                <w:sz w:val="20"/>
                <w:szCs w:val="20"/>
              </w:rPr>
            </w:pPr>
            <w:r>
              <w:rPr>
                <w:rFonts w:ascii="Times New Roman" w:hAnsi="Times New Roman" w:cs="Times New Roman"/>
                <w:sz w:val="20"/>
                <w:szCs w:val="20"/>
              </w:rPr>
              <w:t xml:space="preserve">There was no issue raised at trial as to policies’ “contradictory” terms. </w:t>
            </w:r>
          </w:p>
          <w:p w14:paraId="452109E2" w14:textId="77777777" w:rsidR="000A2139" w:rsidRDefault="000A2139" w:rsidP="00B422E8">
            <w:pPr>
              <w:pStyle w:val="ListParagraph"/>
              <w:ind w:left="432"/>
              <w:rPr>
                <w:rFonts w:ascii="Times New Roman" w:hAnsi="Times New Roman" w:cs="Times New Roman"/>
                <w:sz w:val="20"/>
                <w:szCs w:val="20"/>
              </w:rPr>
            </w:pPr>
          </w:p>
          <w:p w14:paraId="1F84F8BF" w14:textId="6E2B9EEC" w:rsidR="000A2139" w:rsidRDefault="000A2139" w:rsidP="006C2549">
            <w:pPr>
              <w:pStyle w:val="ListParagraph"/>
              <w:ind w:left="432"/>
              <w:rPr>
                <w:rFonts w:ascii="Times New Roman" w:hAnsi="Times New Roman" w:cs="Times New Roman"/>
                <w:sz w:val="20"/>
                <w:szCs w:val="20"/>
              </w:rPr>
            </w:pPr>
            <w:r>
              <w:rPr>
                <w:rFonts w:ascii="Times New Roman" w:hAnsi="Times New Roman" w:cs="Times New Roman"/>
                <w:sz w:val="20"/>
                <w:szCs w:val="20"/>
              </w:rPr>
              <w:t xml:space="preserve">In </w:t>
            </w:r>
            <w:r w:rsidRPr="004F796C">
              <w:rPr>
                <w:rFonts w:ascii="Times New Roman" w:hAnsi="Times New Roman" w:cs="Times New Roman"/>
                <w:sz w:val="20"/>
                <w:szCs w:val="20"/>
              </w:rPr>
              <w:t>assessing this issue, the Court was clearly erroneous in criticizing Reserve’s policies as being “cookie cutter” simply because Reserve’s policies were based on “forms.”  A basic premise of insurance is that the contracts are based on tried, true and tested</w:t>
            </w:r>
            <w:r>
              <w:rPr>
                <w:rFonts w:ascii="Times New Roman" w:hAnsi="Times New Roman" w:cs="Times New Roman"/>
                <w:sz w:val="20"/>
                <w:szCs w:val="20"/>
              </w:rPr>
              <w:t xml:space="preserve"> language, and that policy forms are developed to serve as benchmarks for analyzing and comparing policies developed by individual insurers.</w:t>
            </w:r>
            <w:r>
              <w:rPr>
                <w:rStyle w:val="EndnoteReference"/>
                <w:rFonts w:ascii="Times New Roman" w:hAnsi="Times New Roman" w:cs="Times New Roman"/>
                <w:sz w:val="20"/>
                <w:szCs w:val="20"/>
              </w:rPr>
              <w:endnoteReference w:id="24"/>
            </w:r>
            <w:r>
              <w:rPr>
                <w:rFonts w:ascii="Times New Roman" w:hAnsi="Times New Roman" w:cs="Times New Roman"/>
                <w:sz w:val="20"/>
                <w:szCs w:val="20"/>
              </w:rPr>
              <w:t xml:space="preserve">  The Court wrongly created a requirement that has no basis in fact that policy forms must be custom crafted to be considered “insurance.”  The Court (improperly) raised it </w:t>
            </w:r>
            <w:r w:rsidRPr="00042D57">
              <w:rPr>
                <w:rFonts w:ascii="Times New Roman" w:hAnsi="Times New Roman" w:cs="Times New Roman"/>
                <w:i/>
                <w:sz w:val="20"/>
                <w:szCs w:val="20"/>
              </w:rPr>
              <w:t>sua spon</w:t>
            </w:r>
            <w:r>
              <w:rPr>
                <w:rFonts w:ascii="Times New Roman" w:hAnsi="Times New Roman" w:cs="Times New Roman"/>
                <w:i/>
                <w:sz w:val="20"/>
                <w:szCs w:val="20"/>
              </w:rPr>
              <w:t>t</w:t>
            </w:r>
            <w:r w:rsidRPr="00042D57">
              <w:rPr>
                <w:rFonts w:ascii="Times New Roman" w:hAnsi="Times New Roman" w:cs="Times New Roman"/>
                <w:i/>
                <w:sz w:val="20"/>
                <w:szCs w:val="20"/>
              </w:rPr>
              <w:t>e</w:t>
            </w:r>
            <w:r>
              <w:rPr>
                <w:rFonts w:ascii="Times New Roman" w:hAnsi="Times New Roman" w:cs="Times New Roman"/>
                <w:sz w:val="20"/>
                <w:szCs w:val="20"/>
              </w:rPr>
              <w:t xml:space="preserve"> in the Opinion.  To be sure, insurance is based on common policy conditions and widely vetted and utilized coverage language and other terms and conditions.  </w:t>
            </w:r>
          </w:p>
          <w:p w14:paraId="4B478277" w14:textId="77777777" w:rsidR="000A2139" w:rsidRDefault="000A2139" w:rsidP="006C2549">
            <w:pPr>
              <w:pStyle w:val="ListParagraph"/>
              <w:ind w:left="432"/>
              <w:rPr>
                <w:rFonts w:ascii="Times New Roman" w:hAnsi="Times New Roman" w:cs="Times New Roman"/>
                <w:sz w:val="20"/>
                <w:szCs w:val="20"/>
              </w:rPr>
            </w:pPr>
          </w:p>
          <w:p w14:paraId="1164E939" w14:textId="1B75EE51" w:rsidR="000A2139" w:rsidRPr="007E1B6A" w:rsidRDefault="000A2139" w:rsidP="006C2549">
            <w:pPr>
              <w:pStyle w:val="ListParagraph"/>
              <w:ind w:left="432"/>
              <w:rPr>
                <w:rFonts w:ascii="Times New Roman" w:hAnsi="Times New Roman" w:cs="Times New Roman"/>
                <w:sz w:val="20"/>
                <w:szCs w:val="20"/>
              </w:rPr>
            </w:pPr>
            <w:r>
              <w:rPr>
                <w:rFonts w:ascii="Times New Roman" w:hAnsi="Times New Roman" w:cs="Times New Roman"/>
                <w:sz w:val="20"/>
                <w:szCs w:val="20"/>
              </w:rPr>
              <w:t>Also, the Court erroneously concluded that the policies</w:t>
            </w:r>
            <w:r>
              <w:t xml:space="preserve"> “</w:t>
            </w:r>
            <w:r w:rsidRPr="00D636FF">
              <w:rPr>
                <w:rFonts w:ascii="Times New Roman" w:hAnsi="Times New Roman" w:cs="Times New Roman"/>
                <w:sz w:val="20"/>
                <w:szCs w:val="20"/>
              </w:rPr>
              <w:t>were not reasonably suited to the needs of</w:t>
            </w:r>
            <w:r>
              <w:rPr>
                <w:rFonts w:ascii="Times New Roman" w:hAnsi="Times New Roman" w:cs="Times New Roman"/>
                <w:sz w:val="20"/>
                <w:szCs w:val="20"/>
              </w:rPr>
              <w:t xml:space="preserve"> </w:t>
            </w:r>
            <w:r w:rsidRPr="00141430">
              <w:rPr>
                <w:rFonts w:ascii="Times New Roman" w:hAnsi="Times New Roman" w:cs="Times New Roman"/>
                <w:sz w:val="20"/>
                <w:szCs w:val="20"/>
              </w:rPr>
              <w:t>the insureds</w:t>
            </w:r>
            <w:r>
              <w:rPr>
                <w:rFonts w:ascii="Times New Roman" w:hAnsi="Times New Roman" w:cs="Times New Roman"/>
                <w:sz w:val="20"/>
                <w:szCs w:val="20"/>
              </w:rPr>
              <w:t xml:space="preserve">” without even a hint of this being an issue at trial.  </w:t>
            </w:r>
            <w:r w:rsidRPr="00F40798">
              <w:rPr>
                <w:rFonts w:ascii="Times New Roman" w:hAnsi="Times New Roman" w:cs="Times New Roman"/>
                <w:b/>
                <w:sz w:val="20"/>
                <w:szCs w:val="20"/>
              </w:rPr>
              <w:t>The evidence did not support this finding.  See discussion at page</w:t>
            </w:r>
            <w:r w:rsidR="00321516">
              <w:rPr>
                <w:rFonts w:ascii="Times New Roman" w:hAnsi="Times New Roman" w:cs="Times New Roman"/>
                <w:b/>
                <w:sz w:val="20"/>
                <w:szCs w:val="20"/>
              </w:rPr>
              <w:t>s 3</w:t>
            </w:r>
            <w:r w:rsidR="00D11887">
              <w:rPr>
                <w:rFonts w:ascii="Times New Roman" w:hAnsi="Times New Roman" w:cs="Times New Roman"/>
                <w:b/>
                <w:sz w:val="20"/>
                <w:szCs w:val="20"/>
              </w:rPr>
              <w:t>5</w:t>
            </w:r>
            <w:r w:rsidR="00321516">
              <w:rPr>
                <w:rFonts w:ascii="Times New Roman" w:hAnsi="Times New Roman" w:cs="Times New Roman"/>
                <w:b/>
                <w:sz w:val="20"/>
                <w:szCs w:val="20"/>
              </w:rPr>
              <w:t>-3</w:t>
            </w:r>
            <w:r w:rsidR="00D11887">
              <w:rPr>
                <w:rFonts w:ascii="Times New Roman" w:hAnsi="Times New Roman" w:cs="Times New Roman"/>
                <w:b/>
                <w:sz w:val="20"/>
                <w:szCs w:val="20"/>
              </w:rPr>
              <w:t>6</w:t>
            </w:r>
            <w:r w:rsidR="00321516">
              <w:rPr>
                <w:rFonts w:ascii="Times New Roman" w:hAnsi="Times New Roman" w:cs="Times New Roman"/>
                <w:b/>
                <w:sz w:val="20"/>
                <w:szCs w:val="20"/>
              </w:rPr>
              <w:t xml:space="preserve"> </w:t>
            </w:r>
            <w:r w:rsidRPr="00F40798">
              <w:rPr>
                <w:rFonts w:ascii="Times New Roman" w:hAnsi="Times New Roman" w:cs="Times New Roman"/>
                <w:b/>
                <w:sz w:val="20"/>
                <w:szCs w:val="20"/>
              </w:rPr>
              <w:t>below.</w:t>
            </w:r>
          </w:p>
          <w:p w14:paraId="191CA9CA" w14:textId="77777777" w:rsidR="000A2139" w:rsidRDefault="000A2139" w:rsidP="002D1F0A">
            <w:pPr>
              <w:contextualSpacing/>
              <w:rPr>
                <w:rFonts w:ascii="Times New Roman" w:hAnsi="Times New Roman" w:cs="Times New Roman"/>
                <w:sz w:val="20"/>
                <w:szCs w:val="20"/>
                <w:u w:val="single"/>
              </w:rPr>
            </w:pPr>
          </w:p>
          <w:p w14:paraId="7BAA795B" w14:textId="77777777" w:rsidR="000A2139" w:rsidRPr="003D1041" w:rsidRDefault="000A2139" w:rsidP="002D1F0A">
            <w:pPr>
              <w:contextualSpacing/>
              <w:rPr>
                <w:rFonts w:ascii="Times New Roman" w:hAnsi="Times New Roman" w:cs="Times New Roman"/>
                <w:sz w:val="20"/>
                <w:szCs w:val="20"/>
                <w:u w:val="single"/>
              </w:rPr>
            </w:pPr>
            <w:r>
              <w:rPr>
                <w:rFonts w:ascii="Times New Roman" w:hAnsi="Times New Roman" w:cs="Times New Roman"/>
                <w:sz w:val="20"/>
                <w:szCs w:val="20"/>
                <w:u w:val="single"/>
              </w:rPr>
              <w:t xml:space="preserve">4.  </w:t>
            </w:r>
            <w:r w:rsidRPr="003D1041">
              <w:rPr>
                <w:rFonts w:ascii="Times New Roman" w:hAnsi="Times New Roman" w:cs="Times New Roman"/>
                <w:sz w:val="20"/>
                <w:szCs w:val="20"/>
                <w:u w:val="single"/>
              </w:rPr>
              <w:t>Reasonableness of premiums</w:t>
            </w:r>
          </w:p>
          <w:p w14:paraId="55FE8321" w14:textId="5A01809B" w:rsidR="000A2139" w:rsidRPr="003B5DE3" w:rsidRDefault="000A2139" w:rsidP="00C82490">
            <w:pPr>
              <w:pStyle w:val="ListParagraph"/>
              <w:numPr>
                <w:ilvl w:val="0"/>
                <w:numId w:val="41"/>
              </w:numPr>
              <w:rPr>
                <w:rFonts w:ascii="Times New Roman" w:hAnsi="Times New Roman" w:cs="Times New Roman"/>
                <w:sz w:val="20"/>
                <w:szCs w:val="20"/>
              </w:rPr>
            </w:pPr>
            <w:r w:rsidRPr="003D1041">
              <w:rPr>
                <w:rFonts w:ascii="Times New Roman" w:hAnsi="Times New Roman" w:cs="Times New Roman"/>
                <w:sz w:val="20"/>
                <w:szCs w:val="20"/>
              </w:rPr>
              <w:t xml:space="preserve">Court </w:t>
            </w:r>
            <w:r>
              <w:rPr>
                <w:rFonts w:ascii="Times New Roman" w:hAnsi="Times New Roman" w:cs="Times New Roman"/>
                <w:sz w:val="20"/>
                <w:szCs w:val="20"/>
              </w:rPr>
              <w:t>concluded that the policies</w:t>
            </w:r>
            <w:r w:rsidR="00D94B8F">
              <w:rPr>
                <w:rFonts w:ascii="Times New Roman" w:hAnsi="Times New Roman" w:cs="Times New Roman"/>
                <w:sz w:val="20"/>
                <w:szCs w:val="20"/>
              </w:rPr>
              <w:t>’</w:t>
            </w:r>
            <w:r>
              <w:rPr>
                <w:rFonts w:ascii="Times New Roman" w:hAnsi="Times New Roman" w:cs="Times New Roman"/>
                <w:sz w:val="20"/>
                <w:szCs w:val="20"/>
              </w:rPr>
              <w:t xml:space="preserve"> pricing was actuarily sound and objectively determined.  Opinion at 61.  Yet the Court then </w:t>
            </w:r>
            <w:r w:rsidRPr="003D1041">
              <w:rPr>
                <w:rFonts w:ascii="Times New Roman" w:hAnsi="Times New Roman" w:cs="Times New Roman"/>
                <w:sz w:val="20"/>
                <w:szCs w:val="20"/>
              </w:rPr>
              <w:t xml:space="preserve">found this factor </w:t>
            </w:r>
            <w:r w:rsidRPr="00217032">
              <w:rPr>
                <w:rFonts w:ascii="Times New Roman" w:hAnsi="Times New Roman" w:cs="Times New Roman"/>
                <w:sz w:val="20"/>
                <w:szCs w:val="20"/>
              </w:rPr>
              <w:t xml:space="preserve">to be lacking given that “the absence of a real business purpose for Reserve’s policies leads us to conclude that the premiums paid for the polices were not reasonable and not negotiated at arm’s length.”  </w:t>
            </w:r>
            <w:r w:rsidRPr="00217032">
              <w:rPr>
                <w:rFonts w:ascii="Times New Roman" w:hAnsi="Times New Roman" w:cs="Times New Roman"/>
                <w:b/>
                <w:sz w:val="20"/>
                <w:szCs w:val="20"/>
              </w:rPr>
              <w:t>The evidence did not support this finding</w:t>
            </w:r>
            <w:r w:rsidRPr="00217032">
              <w:rPr>
                <w:rFonts w:ascii="Times New Roman" w:hAnsi="Times New Roman" w:cs="Times New Roman"/>
                <w:sz w:val="20"/>
                <w:szCs w:val="20"/>
              </w:rPr>
              <w:t xml:space="preserve"> and the issue as to, for example, why a manufacturer whose business is dealing every day in contaminated equipment</w:t>
            </w:r>
            <w:r>
              <w:rPr>
                <w:rFonts w:ascii="Times New Roman" w:hAnsi="Times New Roman" w:cs="Times New Roman"/>
                <w:sz w:val="20"/>
                <w:szCs w:val="20"/>
              </w:rPr>
              <w:t xml:space="preserve"> and is physically</w:t>
            </w:r>
            <w:r w:rsidRPr="0065145F">
              <w:rPr>
                <w:rFonts w:ascii="Times New Roman" w:hAnsi="Times New Roman" w:cs="Times New Roman"/>
                <w:sz w:val="20"/>
                <w:szCs w:val="20"/>
              </w:rPr>
              <w:t xml:space="preserve"> located </w:t>
            </w:r>
            <w:r>
              <w:rPr>
                <w:rFonts w:ascii="Times New Roman" w:hAnsi="Times New Roman" w:cs="Times New Roman"/>
                <w:sz w:val="20"/>
                <w:szCs w:val="20"/>
              </w:rPr>
              <w:t>with</w:t>
            </w:r>
            <w:r w:rsidRPr="0065145F">
              <w:rPr>
                <w:rFonts w:ascii="Times New Roman" w:hAnsi="Times New Roman" w:cs="Times New Roman"/>
                <w:sz w:val="20"/>
                <w:szCs w:val="20"/>
              </w:rPr>
              <w:t>in a Superfund site would want pollution liability coverage</w:t>
            </w:r>
            <w:r>
              <w:rPr>
                <w:rFonts w:ascii="Times New Roman" w:hAnsi="Times New Roman" w:cs="Times New Roman"/>
                <w:sz w:val="20"/>
                <w:szCs w:val="20"/>
              </w:rPr>
              <w:t xml:space="preserve"> (given that the answer </w:t>
            </w:r>
            <w:r>
              <w:rPr>
                <w:rFonts w:ascii="Times New Roman" w:hAnsi="Times New Roman" w:cs="Times New Roman"/>
                <w:sz w:val="20"/>
                <w:szCs w:val="20"/>
              </w:rPr>
              <w:lastRenderedPageBreak/>
              <w:t>is obvious).  T</w:t>
            </w:r>
            <w:r w:rsidRPr="0065145F">
              <w:rPr>
                <w:rFonts w:ascii="Times New Roman" w:hAnsi="Times New Roman" w:cs="Times New Roman"/>
                <w:sz w:val="20"/>
                <w:szCs w:val="20"/>
              </w:rPr>
              <w:t>he government</w:t>
            </w:r>
            <w:r>
              <w:rPr>
                <w:rFonts w:ascii="Times New Roman" w:hAnsi="Times New Roman" w:cs="Times New Roman"/>
                <w:sz w:val="20"/>
                <w:szCs w:val="20"/>
              </w:rPr>
              <w:t xml:space="preserve"> did not</w:t>
            </w:r>
            <w:r w:rsidRPr="0065145F">
              <w:rPr>
                <w:rFonts w:ascii="Times New Roman" w:hAnsi="Times New Roman" w:cs="Times New Roman"/>
                <w:sz w:val="20"/>
                <w:szCs w:val="20"/>
              </w:rPr>
              <w:t xml:space="preserve"> question</w:t>
            </w:r>
            <w:r>
              <w:rPr>
                <w:rFonts w:ascii="Times New Roman" w:hAnsi="Times New Roman" w:cs="Times New Roman"/>
                <w:sz w:val="20"/>
                <w:szCs w:val="20"/>
              </w:rPr>
              <w:t xml:space="preserve"> Peak’s need for the pollution liability coverage or question </w:t>
            </w:r>
            <w:r w:rsidRPr="0065145F">
              <w:rPr>
                <w:rFonts w:ascii="Times New Roman" w:hAnsi="Times New Roman" w:cs="Times New Roman"/>
                <w:sz w:val="20"/>
                <w:szCs w:val="20"/>
              </w:rPr>
              <w:t>why a manufacturer would want to have business interruption coverage</w:t>
            </w:r>
            <w:r>
              <w:rPr>
                <w:rFonts w:ascii="Times New Roman" w:hAnsi="Times New Roman" w:cs="Times New Roman"/>
                <w:sz w:val="20"/>
                <w:szCs w:val="20"/>
              </w:rPr>
              <w:t xml:space="preserve"> for its operations conducted mainly at one facility which was covered by one of Reserve’s issued policies</w:t>
            </w:r>
            <w:r w:rsidRPr="0065145F">
              <w:rPr>
                <w:rFonts w:ascii="Times New Roman" w:hAnsi="Times New Roman" w:cs="Times New Roman"/>
                <w:sz w:val="20"/>
                <w:szCs w:val="20"/>
              </w:rPr>
              <w:t xml:space="preserve">.  Nonetheless, the Court </w:t>
            </w:r>
            <w:r w:rsidRPr="0065145F">
              <w:rPr>
                <w:rFonts w:ascii="Times New Roman" w:hAnsi="Times New Roman" w:cs="Times New Roman"/>
                <w:i/>
                <w:sz w:val="20"/>
                <w:szCs w:val="20"/>
              </w:rPr>
              <w:t>sua sponte</w:t>
            </w:r>
            <w:r w:rsidRPr="0065145F">
              <w:rPr>
                <w:rFonts w:ascii="Times New Roman" w:hAnsi="Times New Roman" w:cs="Times New Roman"/>
                <w:sz w:val="20"/>
                <w:szCs w:val="20"/>
              </w:rPr>
              <w:t xml:space="preserve"> raised these issues in concluding that there was no business purpose.  </w:t>
            </w:r>
            <w:r w:rsidRPr="00350693">
              <w:rPr>
                <w:rFonts w:ascii="Times New Roman" w:hAnsi="Times New Roman" w:cs="Times New Roman"/>
                <w:b/>
                <w:sz w:val="20"/>
                <w:szCs w:val="20"/>
              </w:rPr>
              <w:t>See discussion at page</w:t>
            </w:r>
            <w:r w:rsidR="00350693">
              <w:rPr>
                <w:rFonts w:ascii="Times New Roman" w:hAnsi="Times New Roman" w:cs="Times New Roman"/>
                <w:b/>
                <w:sz w:val="20"/>
                <w:szCs w:val="20"/>
              </w:rPr>
              <w:t>s 3</w:t>
            </w:r>
            <w:r w:rsidR="00A46626">
              <w:rPr>
                <w:rFonts w:ascii="Times New Roman" w:hAnsi="Times New Roman" w:cs="Times New Roman"/>
                <w:b/>
                <w:sz w:val="20"/>
                <w:szCs w:val="20"/>
              </w:rPr>
              <w:t>6</w:t>
            </w:r>
            <w:r w:rsidR="00350693">
              <w:rPr>
                <w:rFonts w:ascii="Times New Roman" w:hAnsi="Times New Roman" w:cs="Times New Roman"/>
                <w:b/>
                <w:sz w:val="20"/>
                <w:szCs w:val="20"/>
              </w:rPr>
              <w:t>-3</w:t>
            </w:r>
            <w:r w:rsidR="00A46626">
              <w:rPr>
                <w:rFonts w:ascii="Times New Roman" w:hAnsi="Times New Roman" w:cs="Times New Roman"/>
                <w:b/>
                <w:sz w:val="20"/>
                <w:szCs w:val="20"/>
              </w:rPr>
              <w:t>8</w:t>
            </w:r>
            <w:r w:rsidR="00350693">
              <w:rPr>
                <w:rFonts w:ascii="Times New Roman" w:hAnsi="Times New Roman" w:cs="Times New Roman"/>
                <w:b/>
                <w:sz w:val="20"/>
                <w:szCs w:val="20"/>
              </w:rPr>
              <w:t xml:space="preserve"> </w:t>
            </w:r>
            <w:r w:rsidRPr="00350693">
              <w:rPr>
                <w:rFonts w:ascii="Times New Roman" w:hAnsi="Times New Roman" w:cs="Times New Roman"/>
                <w:b/>
                <w:sz w:val="20"/>
                <w:szCs w:val="20"/>
              </w:rPr>
              <w:t>below</w:t>
            </w:r>
            <w:r w:rsidRPr="0065145F">
              <w:rPr>
                <w:rFonts w:ascii="Times New Roman" w:hAnsi="Times New Roman" w:cs="Times New Roman"/>
                <w:sz w:val="20"/>
                <w:szCs w:val="20"/>
              </w:rPr>
              <w:t xml:space="preserve">.  To be sure, the Court in drawing upon </w:t>
            </w:r>
            <w:r w:rsidRPr="00923098">
              <w:rPr>
                <w:rFonts w:ascii="Times New Roman" w:hAnsi="Times New Roman" w:cs="Times New Roman"/>
                <w:i/>
                <w:sz w:val="20"/>
                <w:szCs w:val="20"/>
              </w:rPr>
              <w:t>Avrahami</w:t>
            </w:r>
            <w:r w:rsidRPr="0065145F">
              <w:rPr>
                <w:rFonts w:ascii="Times New Roman" w:hAnsi="Times New Roman" w:cs="Times New Roman"/>
                <w:sz w:val="20"/>
                <w:szCs w:val="20"/>
              </w:rPr>
              <w:t xml:space="preserve"> contradicted its own findings that the polices were actuari</w:t>
            </w:r>
            <w:r w:rsidR="00861113">
              <w:rPr>
                <w:rFonts w:ascii="Times New Roman" w:hAnsi="Times New Roman" w:cs="Times New Roman"/>
                <w:sz w:val="20"/>
                <w:szCs w:val="20"/>
              </w:rPr>
              <w:t>a</w:t>
            </w:r>
            <w:r w:rsidRPr="0065145F">
              <w:rPr>
                <w:rFonts w:ascii="Times New Roman" w:hAnsi="Times New Roman" w:cs="Times New Roman"/>
                <w:sz w:val="20"/>
                <w:szCs w:val="20"/>
              </w:rPr>
              <w:t>l</w:t>
            </w:r>
            <w:r w:rsidR="00861113">
              <w:rPr>
                <w:rFonts w:ascii="Times New Roman" w:hAnsi="Times New Roman" w:cs="Times New Roman"/>
                <w:sz w:val="20"/>
                <w:szCs w:val="20"/>
              </w:rPr>
              <w:t>l</w:t>
            </w:r>
            <w:r w:rsidRPr="0065145F">
              <w:rPr>
                <w:rFonts w:ascii="Times New Roman" w:hAnsi="Times New Roman" w:cs="Times New Roman"/>
                <w:sz w:val="20"/>
                <w:szCs w:val="20"/>
              </w:rPr>
              <w:t xml:space="preserve">y </w:t>
            </w:r>
            <w:r>
              <w:rPr>
                <w:rFonts w:ascii="Times New Roman" w:hAnsi="Times New Roman" w:cs="Times New Roman"/>
                <w:sz w:val="20"/>
                <w:szCs w:val="20"/>
              </w:rPr>
              <w:t xml:space="preserve">priced and objectively </w:t>
            </w:r>
            <w:r w:rsidRPr="0065145F">
              <w:rPr>
                <w:rFonts w:ascii="Times New Roman" w:hAnsi="Times New Roman" w:cs="Times New Roman"/>
                <w:sz w:val="20"/>
                <w:szCs w:val="20"/>
              </w:rPr>
              <w:t xml:space="preserve">determined. </w:t>
            </w:r>
          </w:p>
          <w:p w14:paraId="1FF9788F" w14:textId="77777777" w:rsidR="000A2139" w:rsidRPr="003B5DE3" w:rsidRDefault="000A2139" w:rsidP="00213B57">
            <w:pPr>
              <w:rPr>
                <w:rFonts w:ascii="Times New Roman" w:hAnsi="Times New Roman" w:cs="Times New Roman"/>
                <w:sz w:val="20"/>
                <w:szCs w:val="20"/>
              </w:rPr>
            </w:pPr>
          </w:p>
          <w:p w14:paraId="4092CB2F" w14:textId="77777777" w:rsidR="000A2139" w:rsidRPr="003D1041" w:rsidRDefault="000A2139" w:rsidP="003D1041">
            <w:pPr>
              <w:contextualSpacing/>
              <w:rPr>
                <w:rFonts w:ascii="Times New Roman" w:hAnsi="Times New Roman" w:cs="Times New Roman"/>
                <w:sz w:val="20"/>
                <w:szCs w:val="20"/>
                <w:u w:val="single"/>
              </w:rPr>
            </w:pPr>
            <w:r>
              <w:rPr>
                <w:rFonts w:ascii="Times New Roman" w:hAnsi="Times New Roman" w:cs="Times New Roman"/>
                <w:sz w:val="20"/>
                <w:szCs w:val="20"/>
                <w:u w:val="single"/>
              </w:rPr>
              <w:t xml:space="preserve">(5) </w:t>
            </w:r>
            <w:r w:rsidRPr="003D1041">
              <w:rPr>
                <w:rFonts w:ascii="Times New Roman" w:hAnsi="Times New Roman" w:cs="Times New Roman"/>
                <w:sz w:val="20"/>
                <w:szCs w:val="20"/>
                <w:u w:val="single"/>
              </w:rPr>
              <w:t>Payment of claims</w:t>
            </w:r>
          </w:p>
          <w:p w14:paraId="5A899D9E" w14:textId="51E5540C" w:rsidR="000A2139" w:rsidRPr="003D1041" w:rsidRDefault="000A2139" w:rsidP="00C82490">
            <w:pPr>
              <w:pStyle w:val="ListParagraph"/>
              <w:numPr>
                <w:ilvl w:val="0"/>
                <w:numId w:val="43"/>
              </w:numPr>
              <w:rPr>
                <w:rFonts w:ascii="Times New Roman" w:hAnsi="Times New Roman" w:cs="Times New Roman"/>
                <w:sz w:val="20"/>
                <w:szCs w:val="20"/>
              </w:rPr>
            </w:pPr>
            <w:r>
              <w:rPr>
                <w:rFonts w:ascii="Times New Roman" w:hAnsi="Times New Roman" w:cs="Times New Roman"/>
                <w:sz w:val="20"/>
                <w:szCs w:val="20"/>
              </w:rPr>
              <w:t xml:space="preserve">The Court ignored </w:t>
            </w:r>
            <w:r w:rsidRPr="00C55A13">
              <w:rPr>
                <w:rFonts w:ascii="Times New Roman" w:hAnsi="Times New Roman" w:cs="Times New Roman"/>
                <w:sz w:val="20"/>
                <w:szCs w:val="20"/>
              </w:rPr>
              <w:t>the uncontested testimony</w:t>
            </w:r>
            <w:r>
              <w:rPr>
                <w:rFonts w:ascii="Times New Roman" w:hAnsi="Times New Roman" w:cs="Times New Roman"/>
                <w:sz w:val="20"/>
                <w:szCs w:val="20"/>
              </w:rPr>
              <w:t xml:space="preserve"> as to the payment of claims that Reserve made to both Peak as an insured ($</w:t>
            </w:r>
            <w:r w:rsidRPr="00066158">
              <w:rPr>
                <w:rFonts w:ascii="Times New Roman" w:hAnsi="Times New Roman" w:cs="Times New Roman"/>
                <w:sz w:val="20"/>
                <w:szCs w:val="20"/>
              </w:rPr>
              <w:t xml:space="preserve">339,800) and </w:t>
            </w:r>
            <w:r>
              <w:rPr>
                <w:rFonts w:ascii="Times New Roman" w:hAnsi="Times New Roman" w:cs="Times New Roman"/>
                <w:sz w:val="20"/>
                <w:szCs w:val="20"/>
              </w:rPr>
              <w:t xml:space="preserve">to third parties </w:t>
            </w:r>
            <w:r w:rsidRPr="00066158">
              <w:rPr>
                <w:rFonts w:ascii="Times New Roman" w:hAnsi="Times New Roman" w:cs="Times New Roman"/>
                <w:sz w:val="20"/>
                <w:szCs w:val="20"/>
              </w:rPr>
              <w:t>($187,891.99)</w:t>
            </w:r>
            <w:r>
              <w:rPr>
                <w:rFonts w:ascii="Times New Roman" w:hAnsi="Times New Roman" w:cs="Times New Roman"/>
                <w:sz w:val="20"/>
                <w:szCs w:val="20"/>
              </w:rPr>
              <w:t xml:space="preserve"> (aggregating $527,711.99) during the 3 years at issue</w:t>
            </w:r>
            <w:r w:rsidRPr="00066158">
              <w:rPr>
                <w:rFonts w:ascii="Times New Roman" w:hAnsi="Times New Roman" w:cs="Times New Roman"/>
                <w:sz w:val="20"/>
                <w:szCs w:val="20"/>
              </w:rPr>
              <w:t>. Despite the routine payment of claims, the Court did</w:t>
            </w:r>
            <w:r w:rsidRPr="003D1041">
              <w:rPr>
                <w:rFonts w:ascii="Times New Roman" w:hAnsi="Times New Roman" w:cs="Times New Roman"/>
                <w:sz w:val="20"/>
                <w:szCs w:val="20"/>
              </w:rPr>
              <w:t xml:space="preserve"> not give this factor much weight, stating that </w:t>
            </w:r>
            <w:r w:rsidR="008C501F">
              <w:rPr>
                <w:rFonts w:ascii="Times New Roman" w:hAnsi="Times New Roman" w:cs="Times New Roman"/>
                <w:sz w:val="20"/>
                <w:szCs w:val="20"/>
              </w:rPr>
              <w:t>it did</w:t>
            </w:r>
            <w:r w:rsidRPr="003D1041">
              <w:rPr>
                <w:rFonts w:ascii="Times New Roman" w:hAnsi="Times New Roman" w:cs="Times New Roman"/>
                <w:sz w:val="20"/>
                <w:szCs w:val="20"/>
              </w:rPr>
              <w:t xml:space="preserve"> not regard [Reserve’s claims payments] as “overwhelming evidence</w:t>
            </w:r>
            <w:r>
              <w:rPr>
                <w:rFonts w:ascii="Times New Roman" w:hAnsi="Times New Roman" w:cs="Times New Roman"/>
                <w:sz w:val="20"/>
                <w:szCs w:val="20"/>
              </w:rPr>
              <w:t>.</w:t>
            </w:r>
            <w:r w:rsidRPr="003D1041">
              <w:rPr>
                <w:rFonts w:ascii="Times New Roman" w:hAnsi="Times New Roman" w:cs="Times New Roman"/>
                <w:sz w:val="20"/>
                <w:szCs w:val="20"/>
              </w:rPr>
              <w:t>”</w:t>
            </w:r>
            <w:r>
              <w:rPr>
                <w:rFonts w:ascii="Times New Roman" w:hAnsi="Times New Roman" w:cs="Times New Roman"/>
                <w:sz w:val="20"/>
                <w:szCs w:val="20"/>
              </w:rPr>
              <w:t xml:space="preserve">  What evidence can a Court demand as evidence of the payment of claims other than the payment of claims?  The Court’s standards are ever higher shifting</w:t>
            </w:r>
            <w:r w:rsidR="00590536">
              <w:rPr>
                <w:rFonts w:ascii="Times New Roman" w:hAnsi="Times New Roman" w:cs="Times New Roman"/>
                <w:sz w:val="20"/>
                <w:szCs w:val="20"/>
              </w:rPr>
              <w:t>.</w:t>
            </w:r>
          </w:p>
          <w:p w14:paraId="49AD9E93" w14:textId="77777777" w:rsidR="000A2139" w:rsidRPr="003D1041" w:rsidRDefault="000A2139" w:rsidP="00CF4DC2">
            <w:pPr>
              <w:rPr>
                <w:rFonts w:ascii="Times New Roman" w:hAnsi="Times New Roman" w:cs="Times New Roman"/>
                <w:sz w:val="20"/>
                <w:szCs w:val="20"/>
              </w:rPr>
            </w:pPr>
          </w:p>
          <w:p w14:paraId="19F31342" w14:textId="77777777" w:rsidR="000A2139" w:rsidRDefault="000A2139" w:rsidP="00CF4DC2">
            <w:pPr>
              <w:numPr>
                <w:ilvl w:val="0"/>
                <w:numId w:val="1"/>
              </w:numPr>
              <w:contextualSpacing/>
              <w:rPr>
                <w:rFonts w:ascii="Times New Roman" w:hAnsi="Times New Roman" w:cs="Times New Roman"/>
                <w:sz w:val="20"/>
                <w:szCs w:val="20"/>
              </w:rPr>
            </w:pPr>
            <w:r w:rsidRPr="0058680D">
              <w:rPr>
                <w:rFonts w:ascii="Times New Roman" w:hAnsi="Times New Roman" w:cs="Times New Roman"/>
                <w:b/>
                <w:sz w:val="20"/>
                <w:szCs w:val="20"/>
                <w:u w:val="single"/>
              </w:rPr>
              <w:t>Conclusion</w:t>
            </w:r>
            <w:r w:rsidRPr="003D1041">
              <w:rPr>
                <w:rFonts w:ascii="Times New Roman" w:hAnsi="Times New Roman" w:cs="Times New Roman"/>
                <w:sz w:val="20"/>
                <w:szCs w:val="20"/>
              </w:rPr>
              <w:t>: Reserve’s transactions were not insurance in the commonly accepted sense.</w:t>
            </w:r>
            <w:r w:rsidRPr="003D1041">
              <w:rPr>
                <w:rFonts w:ascii="Times New Roman" w:hAnsi="Times New Roman" w:cs="Times New Roman"/>
                <w:sz w:val="20"/>
                <w:szCs w:val="20"/>
                <w:vertAlign w:val="superscript"/>
              </w:rPr>
              <w:endnoteReference w:id="25"/>
            </w:r>
          </w:p>
          <w:p w14:paraId="1FBFEE37" w14:textId="7797E9D9" w:rsidR="00590536" w:rsidRPr="00590536" w:rsidRDefault="00590536" w:rsidP="00590536">
            <w:pPr>
              <w:contextualSpacing/>
              <w:rPr>
                <w:rFonts w:ascii="Times New Roman" w:hAnsi="Times New Roman" w:cs="Times New Roman"/>
                <w:sz w:val="20"/>
                <w:szCs w:val="20"/>
              </w:rPr>
            </w:pPr>
          </w:p>
        </w:tc>
      </w:tr>
    </w:tbl>
    <w:p w14:paraId="6D256126" w14:textId="77777777" w:rsidR="000A2139" w:rsidRDefault="000A2139" w:rsidP="00CD309D">
      <w:pPr>
        <w:spacing w:after="0"/>
        <w:rPr>
          <w:rFonts w:ascii="Times New Roman" w:hAnsi="Times New Roman" w:cs="Times New Roman"/>
          <w:b/>
          <w:sz w:val="24"/>
          <w:szCs w:val="24"/>
        </w:rPr>
      </w:pPr>
    </w:p>
    <w:p w14:paraId="1D2D267B" w14:textId="673993A9" w:rsidR="000A2139" w:rsidRPr="003B2299" w:rsidRDefault="000A2139" w:rsidP="003B2299">
      <w:pPr>
        <w:pStyle w:val="Heading2"/>
        <w:spacing w:before="0" w:line="240" w:lineRule="auto"/>
        <w:rPr>
          <w:rFonts w:ascii="Times New Roman" w:hAnsi="Times New Roman" w:cs="Times New Roman"/>
          <w:b/>
          <w:color w:val="auto"/>
          <w:sz w:val="24"/>
          <w:szCs w:val="24"/>
        </w:rPr>
      </w:pPr>
      <w:bookmarkStart w:id="13" w:name="_Toc534366168"/>
      <w:r w:rsidRPr="003B2299">
        <w:rPr>
          <w:rFonts w:ascii="Times New Roman" w:hAnsi="Times New Roman" w:cs="Times New Roman"/>
          <w:b/>
          <w:color w:val="auto"/>
          <w:sz w:val="24"/>
          <w:szCs w:val="24"/>
        </w:rPr>
        <w:t>C.  Tax Consequences to the Parties Before the Court</w:t>
      </w:r>
      <w:bookmarkEnd w:id="13"/>
    </w:p>
    <w:p w14:paraId="6829F627" w14:textId="77777777" w:rsidR="000A2139" w:rsidRPr="00CF4DC2" w:rsidRDefault="000A2139" w:rsidP="00CF4DC2">
      <w:pPr>
        <w:spacing w:after="0" w:line="240" w:lineRule="auto"/>
        <w:rPr>
          <w:rFonts w:ascii="Times New Roman" w:hAnsi="Times New Roman" w:cs="Times New Roman"/>
          <w:b/>
          <w:sz w:val="24"/>
          <w:szCs w:val="24"/>
        </w:rPr>
      </w:pPr>
    </w:p>
    <w:tbl>
      <w:tblPr>
        <w:tblStyle w:val="TableGrid1"/>
        <w:tblW w:w="0" w:type="auto"/>
        <w:tblLook w:val="04A0" w:firstRow="1" w:lastRow="0" w:firstColumn="1" w:lastColumn="0" w:noHBand="0" w:noVBand="1"/>
      </w:tblPr>
      <w:tblGrid>
        <w:gridCol w:w="4675"/>
        <w:gridCol w:w="4675"/>
      </w:tblGrid>
      <w:tr w:rsidR="000A2139" w:rsidRPr="00CF4DC2" w14:paraId="0E152CB2" w14:textId="77777777" w:rsidTr="009555AD">
        <w:tc>
          <w:tcPr>
            <w:tcW w:w="4675" w:type="dxa"/>
          </w:tcPr>
          <w:p w14:paraId="2CD51C39" w14:textId="77777777" w:rsidR="000A2139" w:rsidRPr="006621AF" w:rsidRDefault="000A2139" w:rsidP="00CF4DC2">
            <w:pPr>
              <w:rPr>
                <w:rFonts w:ascii="Times New Roman" w:hAnsi="Times New Roman" w:cs="Times New Roman"/>
                <w:b/>
                <w:i/>
                <w:sz w:val="21"/>
                <w:szCs w:val="21"/>
              </w:rPr>
            </w:pPr>
            <w:r w:rsidRPr="006621AF">
              <w:rPr>
                <w:rFonts w:ascii="Times New Roman" w:hAnsi="Times New Roman" w:cs="Times New Roman"/>
                <w:b/>
                <w:i/>
                <w:sz w:val="21"/>
                <w:szCs w:val="21"/>
              </w:rPr>
              <w:t>Avrahami</w:t>
            </w:r>
          </w:p>
          <w:p w14:paraId="06A87952" w14:textId="77777777" w:rsidR="000A2139" w:rsidRPr="006621AF" w:rsidRDefault="000A2139" w:rsidP="00CF4DC2">
            <w:pPr>
              <w:rPr>
                <w:rFonts w:ascii="Times New Roman" w:hAnsi="Times New Roman" w:cs="Times New Roman"/>
                <w:sz w:val="21"/>
                <w:szCs w:val="21"/>
                <w:u w:val="single"/>
              </w:rPr>
            </w:pPr>
          </w:p>
        </w:tc>
        <w:tc>
          <w:tcPr>
            <w:tcW w:w="4675" w:type="dxa"/>
          </w:tcPr>
          <w:p w14:paraId="084304A0" w14:textId="77777777" w:rsidR="000A2139" w:rsidRPr="006621AF" w:rsidRDefault="000A2139" w:rsidP="00CF4DC2">
            <w:pPr>
              <w:rPr>
                <w:rFonts w:ascii="Times New Roman" w:hAnsi="Times New Roman" w:cs="Times New Roman"/>
                <w:sz w:val="21"/>
                <w:szCs w:val="21"/>
                <w:u w:val="single"/>
              </w:rPr>
            </w:pPr>
            <w:r w:rsidRPr="006621AF">
              <w:rPr>
                <w:rFonts w:ascii="Times New Roman" w:hAnsi="Times New Roman" w:cs="Times New Roman"/>
                <w:b/>
                <w:i/>
                <w:sz w:val="21"/>
                <w:szCs w:val="21"/>
              </w:rPr>
              <w:t>Reserve</w:t>
            </w:r>
          </w:p>
        </w:tc>
      </w:tr>
      <w:tr w:rsidR="000A2139" w:rsidRPr="00CF4DC2" w14:paraId="054F4EDD" w14:textId="77777777" w:rsidTr="009555AD">
        <w:tc>
          <w:tcPr>
            <w:tcW w:w="4675" w:type="dxa"/>
          </w:tcPr>
          <w:p w14:paraId="5D604F7A" w14:textId="77777777" w:rsidR="000A2139" w:rsidRDefault="000A2139" w:rsidP="00CF4DC2">
            <w:pPr>
              <w:rPr>
                <w:rFonts w:ascii="Times New Roman" w:hAnsi="Times New Roman" w:cs="Times New Roman"/>
                <w:sz w:val="20"/>
                <w:szCs w:val="20"/>
                <w:u w:val="single"/>
              </w:rPr>
            </w:pPr>
            <w:r w:rsidRPr="00AE1F23">
              <w:rPr>
                <w:rFonts w:ascii="Times New Roman" w:hAnsi="Times New Roman" w:cs="Times New Roman"/>
                <w:sz w:val="20"/>
                <w:szCs w:val="20"/>
                <w:u w:val="single"/>
              </w:rPr>
              <w:t>Taxability of Feedback’s Revenue</w:t>
            </w:r>
          </w:p>
          <w:p w14:paraId="52D5D89B" w14:textId="77777777" w:rsidR="000A2139" w:rsidRPr="00AE1F23" w:rsidRDefault="000A2139" w:rsidP="00CF4DC2">
            <w:pPr>
              <w:rPr>
                <w:rFonts w:ascii="Times New Roman" w:hAnsi="Times New Roman" w:cs="Times New Roman"/>
                <w:sz w:val="20"/>
                <w:szCs w:val="20"/>
                <w:u w:val="single"/>
              </w:rPr>
            </w:pPr>
          </w:p>
          <w:p w14:paraId="70E3919D" w14:textId="77777777" w:rsidR="000A2139" w:rsidRPr="00AE1F23" w:rsidRDefault="000A2139" w:rsidP="00E012E4">
            <w:pPr>
              <w:contextualSpacing/>
              <w:rPr>
                <w:rFonts w:ascii="Times New Roman" w:hAnsi="Times New Roman" w:cs="Times New Roman"/>
                <w:sz w:val="20"/>
                <w:szCs w:val="20"/>
              </w:rPr>
            </w:pPr>
            <w:r>
              <w:rPr>
                <w:rFonts w:ascii="Times New Roman" w:hAnsi="Times New Roman" w:cs="Times New Roman"/>
                <w:sz w:val="20"/>
                <w:szCs w:val="20"/>
              </w:rPr>
              <w:t xml:space="preserve">1. </w:t>
            </w:r>
            <w:r w:rsidRPr="00AE1F23">
              <w:rPr>
                <w:rFonts w:ascii="Times New Roman" w:hAnsi="Times New Roman" w:cs="Times New Roman"/>
                <w:sz w:val="20"/>
                <w:szCs w:val="20"/>
              </w:rPr>
              <w:t>Court held that Feedback did not qualify to make a Section 953(d) election or a Section 831(b) election since it was not an “insurance company” for federal income tax purposes.”</w:t>
            </w:r>
            <w:r w:rsidRPr="00AE1F23">
              <w:rPr>
                <w:rFonts w:ascii="Times New Roman" w:hAnsi="Times New Roman" w:cs="Times New Roman"/>
                <w:sz w:val="20"/>
                <w:szCs w:val="20"/>
                <w:vertAlign w:val="superscript"/>
              </w:rPr>
              <w:endnoteReference w:id="26"/>
            </w:r>
          </w:p>
          <w:p w14:paraId="65563609" w14:textId="77777777" w:rsidR="000A2139" w:rsidRPr="00AE1F23" w:rsidRDefault="000A2139" w:rsidP="00DB7D9C">
            <w:pPr>
              <w:rPr>
                <w:rFonts w:ascii="Times New Roman" w:hAnsi="Times New Roman" w:cs="Times New Roman"/>
                <w:sz w:val="20"/>
                <w:szCs w:val="20"/>
              </w:rPr>
            </w:pPr>
          </w:p>
          <w:p w14:paraId="3763D6CE" w14:textId="77777777" w:rsidR="000A2139" w:rsidRPr="00AE1F23" w:rsidRDefault="000A2139" w:rsidP="00811379">
            <w:pPr>
              <w:ind w:left="72"/>
              <w:contextualSpacing/>
              <w:rPr>
                <w:rFonts w:ascii="Times New Roman" w:hAnsi="Times New Roman" w:cs="Times New Roman"/>
                <w:sz w:val="20"/>
                <w:szCs w:val="20"/>
              </w:rPr>
            </w:pPr>
            <w:r>
              <w:rPr>
                <w:rFonts w:ascii="Times New Roman" w:hAnsi="Times New Roman" w:cs="Times New Roman"/>
                <w:sz w:val="20"/>
                <w:szCs w:val="20"/>
              </w:rPr>
              <w:t xml:space="preserve">2. </w:t>
            </w:r>
            <w:r w:rsidRPr="00AE1F23">
              <w:rPr>
                <w:rFonts w:ascii="Times New Roman" w:hAnsi="Times New Roman" w:cs="Times New Roman"/>
                <w:sz w:val="20"/>
                <w:szCs w:val="20"/>
              </w:rPr>
              <w:t xml:space="preserve">The parties stipulated that the “non-premiums” received by Feedback captive were </w:t>
            </w:r>
            <w:r w:rsidRPr="00AE1F23">
              <w:rPr>
                <w:rFonts w:ascii="Times New Roman" w:hAnsi="Times New Roman" w:cs="Times New Roman"/>
                <w:b/>
                <w:sz w:val="20"/>
                <w:szCs w:val="20"/>
                <w:u w:val="single"/>
              </w:rPr>
              <w:t>not taxable</w:t>
            </w:r>
            <w:r w:rsidRPr="00AE1F23">
              <w:rPr>
                <w:rFonts w:ascii="Times New Roman" w:hAnsi="Times New Roman" w:cs="Times New Roman"/>
                <w:sz w:val="20"/>
                <w:szCs w:val="20"/>
              </w:rPr>
              <w:t xml:space="preserve"> income as “U.S. source fixed or determinable, annual or periodical income” under Section 881 or as income that is “effectively connected with a U.S. trade or business” under section 882.</w:t>
            </w:r>
            <w:r w:rsidRPr="00AE1F23">
              <w:rPr>
                <w:rFonts w:ascii="Times New Roman" w:hAnsi="Times New Roman" w:cs="Times New Roman"/>
                <w:sz w:val="20"/>
                <w:szCs w:val="20"/>
                <w:vertAlign w:val="superscript"/>
              </w:rPr>
              <w:endnoteReference w:id="27"/>
            </w:r>
            <w:r w:rsidRPr="00AE1F23">
              <w:rPr>
                <w:rFonts w:ascii="Times New Roman" w:hAnsi="Times New Roman" w:cs="Times New Roman"/>
                <w:sz w:val="20"/>
                <w:szCs w:val="20"/>
              </w:rPr>
              <w:t xml:space="preserve"> </w:t>
            </w:r>
            <w:r>
              <w:rPr>
                <w:rFonts w:ascii="Times New Roman" w:hAnsi="Times New Roman" w:cs="Times New Roman"/>
                <w:sz w:val="20"/>
                <w:szCs w:val="20"/>
              </w:rPr>
              <w:t xml:space="preserve"> </w:t>
            </w:r>
            <w:r w:rsidRPr="00AE1F23">
              <w:rPr>
                <w:rFonts w:ascii="Times New Roman" w:hAnsi="Times New Roman" w:cs="Times New Roman"/>
                <w:sz w:val="20"/>
                <w:szCs w:val="20"/>
              </w:rPr>
              <w:t>Court held that Feedback was not subject to tax under Section 881 or Section 882, which govern the taxation of foreign corporations.</w:t>
            </w:r>
          </w:p>
        </w:tc>
        <w:tc>
          <w:tcPr>
            <w:tcW w:w="4675" w:type="dxa"/>
          </w:tcPr>
          <w:p w14:paraId="0C346705" w14:textId="77777777" w:rsidR="000A2139" w:rsidRDefault="000A2139" w:rsidP="00CF4DC2">
            <w:pPr>
              <w:rPr>
                <w:rFonts w:ascii="Times New Roman" w:hAnsi="Times New Roman" w:cs="Times New Roman"/>
                <w:sz w:val="20"/>
                <w:szCs w:val="20"/>
                <w:u w:val="single"/>
              </w:rPr>
            </w:pPr>
            <w:r w:rsidRPr="00AE1F23">
              <w:rPr>
                <w:rFonts w:ascii="Times New Roman" w:hAnsi="Times New Roman" w:cs="Times New Roman"/>
                <w:sz w:val="20"/>
                <w:szCs w:val="20"/>
                <w:u w:val="single"/>
              </w:rPr>
              <w:t>Taxability of Reserve’s Revenue</w:t>
            </w:r>
          </w:p>
          <w:p w14:paraId="5160D78C" w14:textId="77777777" w:rsidR="000A2139" w:rsidRPr="00AE1F23" w:rsidRDefault="000A2139" w:rsidP="00CF4DC2">
            <w:pPr>
              <w:rPr>
                <w:rFonts w:ascii="Times New Roman" w:hAnsi="Times New Roman" w:cs="Times New Roman"/>
                <w:sz w:val="20"/>
                <w:szCs w:val="20"/>
                <w:u w:val="single"/>
              </w:rPr>
            </w:pPr>
          </w:p>
          <w:p w14:paraId="0B3A0090" w14:textId="77777777" w:rsidR="000A2139" w:rsidRPr="00AE1F23" w:rsidRDefault="000A2139" w:rsidP="00CD309D">
            <w:pPr>
              <w:contextualSpacing/>
              <w:rPr>
                <w:rFonts w:ascii="Times New Roman" w:hAnsi="Times New Roman" w:cs="Times New Roman"/>
                <w:sz w:val="20"/>
                <w:szCs w:val="20"/>
              </w:rPr>
            </w:pPr>
            <w:r>
              <w:rPr>
                <w:rFonts w:ascii="Times New Roman" w:hAnsi="Times New Roman" w:cs="Times New Roman"/>
                <w:sz w:val="20"/>
                <w:szCs w:val="20"/>
              </w:rPr>
              <w:t xml:space="preserve">1. </w:t>
            </w:r>
            <w:r w:rsidRPr="00AE1F23">
              <w:rPr>
                <w:rFonts w:ascii="Times New Roman" w:hAnsi="Times New Roman" w:cs="Times New Roman"/>
                <w:sz w:val="20"/>
                <w:szCs w:val="20"/>
              </w:rPr>
              <w:t>Court held that Reserve did not qualify to make a Section 953(d) election since it was not an “insurance company” for federal income tax purposes.”</w:t>
            </w:r>
            <w:r w:rsidRPr="00AE1F23">
              <w:rPr>
                <w:rFonts w:ascii="Times New Roman" w:hAnsi="Times New Roman" w:cs="Times New Roman"/>
                <w:sz w:val="20"/>
                <w:szCs w:val="20"/>
                <w:vertAlign w:val="superscript"/>
              </w:rPr>
              <w:endnoteReference w:id="28"/>
            </w:r>
          </w:p>
          <w:p w14:paraId="4B343A9A" w14:textId="77777777" w:rsidR="000A2139" w:rsidRPr="00AE1F23" w:rsidRDefault="000A2139" w:rsidP="00CF4DC2">
            <w:pPr>
              <w:ind w:left="72"/>
              <w:rPr>
                <w:rFonts w:ascii="Times New Roman" w:hAnsi="Times New Roman" w:cs="Times New Roman"/>
                <w:sz w:val="20"/>
                <w:szCs w:val="20"/>
              </w:rPr>
            </w:pPr>
          </w:p>
          <w:p w14:paraId="2DB8F8D1" w14:textId="77777777" w:rsidR="000A2139" w:rsidRDefault="000A2139" w:rsidP="00DB7D9C">
            <w:pPr>
              <w:contextualSpacing/>
              <w:rPr>
                <w:rFonts w:ascii="Times New Roman" w:hAnsi="Times New Roman" w:cs="Times New Roman"/>
                <w:sz w:val="20"/>
                <w:szCs w:val="20"/>
              </w:rPr>
            </w:pPr>
            <w:r>
              <w:rPr>
                <w:rFonts w:ascii="Times New Roman" w:hAnsi="Times New Roman" w:cs="Times New Roman"/>
                <w:sz w:val="20"/>
                <w:szCs w:val="20"/>
              </w:rPr>
              <w:t xml:space="preserve">2. </w:t>
            </w:r>
            <w:r w:rsidRPr="00AE1F23">
              <w:rPr>
                <w:rFonts w:ascii="Times New Roman" w:hAnsi="Times New Roman" w:cs="Times New Roman"/>
                <w:sz w:val="20"/>
                <w:szCs w:val="20"/>
              </w:rPr>
              <w:t xml:space="preserve">Court </w:t>
            </w:r>
            <w:r>
              <w:rPr>
                <w:rFonts w:ascii="Times New Roman" w:hAnsi="Times New Roman" w:cs="Times New Roman"/>
                <w:sz w:val="20"/>
                <w:szCs w:val="20"/>
              </w:rPr>
              <w:t xml:space="preserve">improperly </w:t>
            </w:r>
            <w:r w:rsidRPr="00AE1F23">
              <w:rPr>
                <w:rFonts w:ascii="Times New Roman" w:hAnsi="Times New Roman" w:cs="Times New Roman"/>
                <w:sz w:val="20"/>
                <w:szCs w:val="20"/>
              </w:rPr>
              <w:t xml:space="preserve">held that the “non-premiums” received by Reserve captive were </w:t>
            </w:r>
            <w:r w:rsidRPr="00AE1F23">
              <w:rPr>
                <w:rFonts w:ascii="Times New Roman" w:hAnsi="Times New Roman" w:cs="Times New Roman"/>
                <w:b/>
                <w:sz w:val="20"/>
                <w:szCs w:val="20"/>
                <w:u w:val="single"/>
              </w:rPr>
              <w:t>taxable</w:t>
            </w:r>
            <w:r w:rsidRPr="00AE1F23">
              <w:rPr>
                <w:rFonts w:ascii="Times New Roman" w:hAnsi="Times New Roman" w:cs="Times New Roman"/>
                <w:sz w:val="20"/>
                <w:szCs w:val="20"/>
              </w:rPr>
              <w:t xml:space="preserve"> under Section 881, simply stating that “Reserve bears the burden of showing that the income it received is not FDAP income as respondent determined in the notice</w:t>
            </w:r>
            <w:r>
              <w:rPr>
                <w:rFonts w:ascii="Times New Roman" w:hAnsi="Times New Roman" w:cs="Times New Roman"/>
                <w:sz w:val="20"/>
                <w:szCs w:val="20"/>
              </w:rPr>
              <w:t xml:space="preserve">.  </w:t>
            </w:r>
            <w:r w:rsidRPr="00AE1F23">
              <w:rPr>
                <w:rFonts w:ascii="Times New Roman" w:hAnsi="Times New Roman" w:cs="Times New Roman"/>
                <w:sz w:val="20"/>
                <w:szCs w:val="20"/>
              </w:rPr>
              <w:t xml:space="preserve">Court did not reconcile its holding </w:t>
            </w:r>
            <w:r>
              <w:rPr>
                <w:rFonts w:ascii="Times New Roman" w:hAnsi="Times New Roman" w:cs="Times New Roman"/>
                <w:sz w:val="20"/>
                <w:szCs w:val="20"/>
              </w:rPr>
              <w:t xml:space="preserve">as set forth in the motion for rehearing…. </w:t>
            </w:r>
            <w:r w:rsidRPr="00AE1F23">
              <w:rPr>
                <w:rFonts w:ascii="Times New Roman" w:hAnsi="Times New Roman" w:cs="Times New Roman"/>
                <w:sz w:val="20"/>
                <w:szCs w:val="20"/>
              </w:rPr>
              <w:t xml:space="preserve">with the result recognized by both the parties and the Court in </w:t>
            </w:r>
            <w:r w:rsidRPr="00AE1F23">
              <w:rPr>
                <w:rFonts w:ascii="Times New Roman" w:hAnsi="Times New Roman" w:cs="Times New Roman"/>
                <w:i/>
                <w:sz w:val="20"/>
                <w:szCs w:val="20"/>
              </w:rPr>
              <w:t xml:space="preserve">Avrahami </w:t>
            </w:r>
            <w:r w:rsidRPr="00AE1F23">
              <w:rPr>
                <w:rFonts w:ascii="Times New Roman" w:hAnsi="Times New Roman" w:cs="Times New Roman"/>
                <w:sz w:val="20"/>
                <w:szCs w:val="20"/>
              </w:rPr>
              <w:t>or</w:t>
            </w:r>
            <w:r w:rsidRPr="00AE1F23">
              <w:rPr>
                <w:rFonts w:ascii="Times New Roman" w:hAnsi="Times New Roman" w:cs="Times New Roman"/>
                <w:i/>
                <w:sz w:val="20"/>
                <w:szCs w:val="20"/>
              </w:rPr>
              <w:t xml:space="preserve"> </w:t>
            </w:r>
            <w:r w:rsidRPr="00AE1F23">
              <w:rPr>
                <w:rFonts w:ascii="Times New Roman" w:hAnsi="Times New Roman" w:cs="Times New Roman"/>
                <w:sz w:val="20"/>
                <w:szCs w:val="20"/>
              </w:rPr>
              <w:t xml:space="preserve">explain why the “non-premiums” received by Reserve were taxable under Section 881 as “U.S. source fixed or </w:t>
            </w:r>
            <w:r w:rsidRPr="00AE1F23">
              <w:rPr>
                <w:rFonts w:ascii="Times New Roman" w:hAnsi="Times New Roman" w:cs="Times New Roman"/>
                <w:sz w:val="20"/>
                <w:szCs w:val="20"/>
              </w:rPr>
              <w:lastRenderedPageBreak/>
              <w:t>determinable, annual or periodical income.”</w:t>
            </w:r>
            <w:r>
              <w:rPr>
                <w:rFonts w:ascii="Times New Roman" w:hAnsi="Times New Roman" w:cs="Times New Roman"/>
                <w:sz w:val="20"/>
                <w:szCs w:val="20"/>
              </w:rPr>
              <w:t xml:space="preserve">  Nor did (or could) the Court reconcile this conclusion – indeed, it didn’t even attempt to do so – with Reserve’s payment of $527,711.99 in losses to insureds.</w:t>
            </w:r>
          </w:p>
          <w:p w14:paraId="2C2E3FB8" w14:textId="77777777" w:rsidR="000A2139" w:rsidRPr="00AE1F23" w:rsidRDefault="000A2139" w:rsidP="00DB7D9C">
            <w:pPr>
              <w:contextualSpacing/>
              <w:rPr>
                <w:rFonts w:ascii="Times New Roman" w:hAnsi="Times New Roman" w:cs="Times New Roman"/>
                <w:sz w:val="20"/>
                <w:szCs w:val="20"/>
              </w:rPr>
            </w:pPr>
          </w:p>
        </w:tc>
      </w:tr>
      <w:tr w:rsidR="000A2139" w:rsidRPr="00CF4DC2" w14:paraId="3156BEA3" w14:textId="77777777" w:rsidTr="009555AD">
        <w:tc>
          <w:tcPr>
            <w:tcW w:w="4675" w:type="dxa"/>
          </w:tcPr>
          <w:p w14:paraId="4E911FAB" w14:textId="77777777" w:rsidR="000A2139" w:rsidRPr="00AE1F23" w:rsidRDefault="000A2139" w:rsidP="00CF4DC2">
            <w:pPr>
              <w:rPr>
                <w:rFonts w:ascii="Times New Roman" w:hAnsi="Times New Roman" w:cs="Times New Roman"/>
                <w:sz w:val="20"/>
                <w:szCs w:val="20"/>
                <w:u w:val="single"/>
              </w:rPr>
            </w:pPr>
            <w:r w:rsidRPr="00AE1F23">
              <w:rPr>
                <w:rFonts w:ascii="Times New Roman" w:hAnsi="Times New Roman" w:cs="Times New Roman"/>
                <w:sz w:val="20"/>
                <w:szCs w:val="20"/>
                <w:u w:val="single"/>
              </w:rPr>
              <w:lastRenderedPageBreak/>
              <w:t>Effect on the Captive’s Insureds</w:t>
            </w:r>
          </w:p>
          <w:p w14:paraId="3078C37B" w14:textId="77777777" w:rsidR="000A2139" w:rsidRDefault="000A2139" w:rsidP="005C6D3B">
            <w:pPr>
              <w:numPr>
                <w:ilvl w:val="0"/>
                <w:numId w:val="1"/>
              </w:numPr>
              <w:contextualSpacing/>
              <w:rPr>
                <w:rFonts w:ascii="Times New Roman" w:hAnsi="Times New Roman" w:cs="Times New Roman"/>
                <w:sz w:val="20"/>
                <w:szCs w:val="20"/>
              </w:rPr>
            </w:pPr>
            <w:r w:rsidRPr="00AE1F23">
              <w:rPr>
                <w:rFonts w:ascii="Times New Roman" w:hAnsi="Times New Roman" w:cs="Times New Roman"/>
                <w:sz w:val="20"/>
                <w:szCs w:val="20"/>
              </w:rPr>
              <w:t>Court held that since the payments by the insureds of “non-premiums” to the Feedback captive weren’t for insurance, they could not be deducted as ordinary and necessary business expenses under section 162(a).</w:t>
            </w:r>
            <w:r w:rsidRPr="00AE1F23">
              <w:rPr>
                <w:rFonts w:ascii="Times New Roman" w:hAnsi="Times New Roman" w:cs="Times New Roman"/>
                <w:sz w:val="20"/>
                <w:szCs w:val="20"/>
                <w:vertAlign w:val="superscript"/>
              </w:rPr>
              <w:endnoteReference w:id="29"/>
            </w:r>
          </w:p>
          <w:p w14:paraId="23F00FCA" w14:textId="77777777" w:rsidR="000A2139" w:rsidRPr="00AE1F23" w:rsidRDefault="000A2139" w:rsidP="00AE1F23">
            <w:pPr>
              <w:contextualSpacing/>
              <w:rPr>
                <w:rFonts w:ascii="Times New Roman" w:hAnsi="Times New Roman" w:cs="Times New Roman"/>
                <w:sz w:val="20"/>
                <w:szCs w:val="20"/>
              </w:rPr>
            </w:pPr>
          </w:p>
        </w:tc>
        <w:tc>
          <w:tcPr>
            <w:tcW w:w="4675" w:type="dxa"/>
          </w:tcPr>
          <w:p w14:paraId="4B9A8482" w14:textId="77777777" w:rsidR="000A2139" w:rsidRPr="00AE1F23" w:rsidRDefault="000A2139" w:rsidP="00CF4DC2">
            <w:pPr>
              <w:rPr>
                <w:rFonts w:ascii="Times New Roman" w:hAnsi="Times New Roman" w:cs="Times New Roman"/>
                <w:sz w:val="20"/>
                <w:szCs w:val="20"/>
                <w:u w:val="single"/>
              </w:rPr>
            </w:pPr>
            <w:r w:rsidRPr="00AE1F23">
              <w:rPr>
                <w:rFonts w:ascii="Times New Roman" w:hAnsi="Times New Roman" w:cs="Times New Roman"/>
                <w:sz w:val="20"/>
                <w:szCs w:val="20"/>
                <w:u w:val="single"/>
              </w:rPr>
              <w:t>Effect on the Captive’s Insureds</w:t>
            </w:r>
          </w:p>
          <w:p w14:paraId="01DA5E0D" w14:textId="77777777" w:rsidR="000A2139" w:rsidRPr="00AE1F23" w:rsidRDefault="000A2139" w:rsidP="005C6D3B">
            <w:pPr>
              <w:numPr>
                <w:ilvl w:val="0"/>
                <w:numId w:val="1"/>
              </w:numPr>
              <w:contextualSpacing/>
              <w:rPr>
                <w:rFonts w:ascii="Times New Roman" w:hAnsi="Times New Roman" w:cs="Times New Roman"/>
                <w:sz w:val="20"/>
                <w:szCs w:val="20"/>
              </w:rPr>
            </w:pPr>
            <w:r w:rsidRPr="00AE1F23">
              <w:rPr>
                <w:rFonts w:ascii="Times New Roman" w:hAnsi="Times New Roman" w:cs="Times New Roman"/>
                <w:sz w:val="20"/>
                <w:szCs w:val="20"/>
              </w:rPr>
              <w:t xml:space="preserve">Since the insureds were not before the Court, the Court </w:t>
            </w:r>
            <w:r>
              <w:rPr>
                <w:rFonts w:ascii="Times New Roman" w:hAnsi="Times New Roman" w:cs="Times New Roman"/>
                <w:sz w:val="20"/>
                <w:szCs w:val="20"/>
              </w:rPr>
              <w:t xml:space="preserve">could not </w:t>
            </w:r>
            <w:r w:rsidRPr="00AE1F23">
              <w:rPr>
                <w:rFonts w:ascii="Times New Roman" w:hAnsi="Times New Roman" w:cs="Times New Roman"/>
                <w:sz w:val="20"/>
                <w:szCs w:val="20"/>
              </w:rPr>
              <w:t>address the tax consequences to the insureds with respect to the payment of “non-premiums” by the insureds to the Reserve captive.</w:t>
            </w:r>
          </w:p>
        </w:tc>
      </w:tr>
    </w:tbl>
    <w:p w14:paraId="6C937BC8" w14:textId="77777777" w:rsidR="001933F0" w:rsidRDefault="001933F0" w:rsidP="00CE20B8">
      <w:pPr>
        <w:pStyle w:val="Heading1"/>
        <w:spacing w:before="0" w:line="240" w:lineRule="auto"/>
      </w:pPr>
    </w:p>
    <w:p w14:paraId="67DC499B" w14:textId="734D03B0" w:rsidR="000A2139" w:rsidRPr="00CE20B8" w:rsidRDefault="000A2139" w:rsidP="00CE20B8">
      <w:pPr>
        <w:pStyle w:val="Heading1"/>
        <w:spacing w:before="0" w:line="240" w:lineRule="auto"/>
        <w:rPr>
          <w:rFonts w:ascii="Times New Roman" w:hAnsi="Times New Roman" w:cs="Times New Roman"/>
          <w:b/>
          <w:sz w:val="24"/>
          <w:szCs w:val="24"/>
        </w:rPr>
      </w:pPr>
      <w:bookmarkStart w:id="14" w:name="_Toc534366169"/>
      <w:r w:rsidRPr="00CE20B8">
        <w:rPr>
          <w:rFonts w:ascii="Times New Roman" w:hAnsi="Times New Roman" w:cs="Times New Roman"/>
          <w:b/>
          <w:color w:val="auto"/>
          <w:sz w:val="24"/>
          <w:szCs w:val="24"/>
        </w:rPr>
        <w:t xml:space="preserve">III. The </w:t>
      </w:r>
      <w:r w:rsidRPr="00CE20B8">
        <w:rPr>
          <w:rFonts w:ascii="Times New Roman" w:hAnsi="Times New Roman" w:cs="Times New Roman"/>
          <w:b/>
          <w:i/>
          <w:color w:val="auto"/>
          <w:sz w:val="24"/>
          <w:szCs w:val="24"/>
        </w:rPr>
        <w:t>Reserve</w:t>
      </w:r>
      <w:r w:rsidRPr="00CE20B8">
        <w:rPr>
          <w:rFonts w:ascii="Times New Roman" w:hAnsi="Times New Roman" w:cs="Times New Roman"/>
          <w:b/>
          <w:color w:val="auto"/>
          <w:sz w:val="24"/>
          <w:szCs w:val="24"/>
        </w:rPr>
        <w:t xml:space="preserve"> Court Imposed Newly Announced Requirements for Pooling Arrangements</w:t>
      </w:r>
      <w:bookmarkEnd w:id="14"/>
    </w:p>
    <w:p w14:paraId="0900C0B7" w14:textId="77777777" w:rsidR="000A2139" w:rsidRPr="0095630D" w:rsidRDefault="000A2139" w:rsidP="009077E1">
      <w:pPr>
        <w:spacing w:after="0" w:line="240" w:lineRule="auto"/>
        <w:rPr>
          <w:rFonts w:ascii="Times New Roman" w:hAnsi="Times New Roman" w:cs="Times New Roman"/>
          <w:sz w:val="24"/>
          <w:szCs w:val="24"/>
        </w:rPr>
      </w:pPr>
    </w:p>
    <w:p w14:paraId="7CEDD430" w14:textId="77777777" w:rsidR="000A2139" w:rsidRDefault="000A2139" w:rsidP="00CA6FD3">
      <w:pPr>
        <w:spacing w:after="0" w:line="240" w:lineRule="auto"/>
        <w:rPr>
          <w:rFonts w:ascii="Times New Roman" w:hAnsi="Times New Roman" w:cs="Times New Roman"/>
          <w:sz w:val="24"/>
          <w:szCs w:val="24"/>
        </w:rPr>
      </w:pPr>
      <w:r>
        <w:rPr>
          <w:rFonts w:ascii="Times New Roman" w:hAnsi="Times New Roman" w:cs="Times New Roman"/>
          <w:sz w:val="24"/>
          <w:szCs w:val="24"/>
        </w:rPr>
        <w:t>As a threshold matter, a pooling arrangement can be summarized as a risk diversification mechanism, with risk diversification being essential to the insurance concept of the law of large numbers.</w:t>
      </w:r>
      <w:r>
        <w:rPr>
          <w:rStyle w:val="EndnoteReference"/>
          <w:rFonts w:ascii="Times New Roman" w:hAnsi="Times New Roman" w:cs="Times New Roman"/>
          <w:sz w:val="24"/>
          <w:szCs w:val="24"/>
        </w:rPr>
        <w:endnoteReference w:id="30"/>
      </w:r>
      <w:r>
        <w:rPr>
          <w:rFonts w:ascii="Times New Roman" w:hAnsi="Times New Roman" w:cs="Times New Roman"/>
          <w:sz w:val="24"/>
          <w:szCs w:val="24"/>
        </w:rPr>
        <w:t xml:space="preserve">  The </w:t>
      </w:r>
      <w:r w:rsidRPr="00F6583C">
        <w:rPr>
          <w:rFonts w:ascii="Times New Roman" w:hAnsi="Times New Roman" w:cs="Times New Roman"/>
          <w:i/>
          <w:sz w:val="24"/>
          <w:szCs w:val="24"/>
        </w:rPr>
        <w:t>Reserve</w:t>
      </w:r>
      <w:r>
        <w:rPr>
          <w:rFonts w:ascii="Times New Roman" w:hAnsi="Times New Roman" w:cs="Times New Roman"/>
          <w:sz w:val="24"/>
          <w:szCs w:val="24"/>
        </w:rPr>
        <w:t xml:space="preserve"> Court needed to and did address risk distribution as achieved by Reserve, which necessarily must include an understanding of the pooling arrangement’s role.  Pooling arrangements have been the subject of several IRS rulings, including a published revenue ruling,</w:t>
      </w:r>
      <w:r>
        <w:rPr>
          <w:rStyle w:val="EndnoteReference"/>
          <w:rFonts w:ascii="Times New Roman" w:hAnsi="Times New Roman" w:cs="Times New Roman"/>
          <w:sz w:val="24"/>
          <w:szCs w:val="24"/>
        </w:rPr>
        <w:endnoteReference w:id="31"/>
      </w:r>
      <w:r>
        <w:rPr>
          <w:rFonts w:ascii="Times New Roman" w:hAnsi="Times New Roman" w:cs="Times New Roman"/>
          <w:sz w:val="24"/>
          <w:szCs w:val="24"/>
        </w:rPr>
        <w:t xml:space="preserve"> which are at odds with the Court’s holding </w:t>
      </w:r>
      <w:r w:rsidRPr="008642A7">
        <w:rPr>
          <w:rFonts w:ascii="Times New Roman" w:hAnsi="Times New Roman" w:cs="Times New Roman"/>
          <w:sz w:val="24"/>
          <w:szCs w:val="24"/>
        </w:rPr>
        <w:t>that a “pooling arrangement” must be conducted only through a licensed “bona fide insurance company</w:t>
      </w:r>
      <w:r>
        <w:rPr>
          <w:rFonts w:ascii="Times New Roman" w:hAnsi="Times New Roman" w:cs="Times New Roman"/>
          <w:sz w:val="24"/>
          <w:szCs w:val="24"/>
        </w:rPr>
        <w:t>.”  The IRS is bound to follow its own precedent in the form of a published revenue ruling.</w:t>
      </w:r>
      <w:r>
        <w:rPr>
          <w:rStyle w:val="EndnoteReference"/>
          <w:rFonts w:ascii="Times New Roman" w:hAnsi="Times New Roman" w:cs="Times New Roman"/>
          <w:sz w:val="24"/>
          <w:szCs w:val="24"/>
        </w:rPr>
        <w:endnoteReference w:id="32"/>
      </w:r>
    </w:p>
    <w:p w14:paraId="4AF23FFB" w14:textId="77777777" w:rsidR="000A2139" w:rsidRDefault="000A2139" w:rsidP="00CA6FD3">
      <w:pPr>
        <w:spacing w:after="0" w:line="240" w:lineRule="auto"/>
        <w:rPr>
          <w:rFonts w:ascii="Times New Roman" w:hAnsi="Times New Roman" w:cs="Times New Roman"/>
          <w:sz w:val="24"/>
          <w:szCs w:val="24"/>
        </w:rPr>
      </w:pPr>
    </w:p>
    <w:p w14:paraId="2AEEB36C" w14:textId="76F2E728" w:rsidR="000A2139" w:rsidRDefault="000A2139" w:rsidP="005D2FE1">
      <w:pPr>
        <w:spacing w:after="0" w:line="240" w:lineRule="auto"/>
        <w:rPr>
          <w:rFonts w:ascii="Times New Roman" w:hAnsi="Times New Roman" w:cs="Times New Roman"/>
          <w:sz w:val="24"/>
          <w:szCs w:val="24"/>
        </w:rPr>
      </w:pPr>
      <w:r>
        <w:rPr>
          <w:rFonts w:ascii="Times New Roman" w:hAnsi="Times New Roman" w:cs="Times New Roman"/>
          <w:sz w:val="24"/>
          <w:szCs w:val="24"/>
        </w:rPr>
        <w:t>An insurance pool is used to diversify the risks of an insurer by “pooling” or “blending” or “homogenizing” policies from many insureds.</w:t>
      </w:r>
      <w:r>
        <w:rPr>
          <w:rStyle w:val="EndnoteReference"/>
          <w:rFonts w:ascii="Times New Roman" w:hAnsi="Times New Roman" w:cs="Times New Roman"/>
          <w:sz w:val="24"/>
          <w:szCs w:val="24"/>
        </w:rPr>
        <w:endnoteReference w:id="33"/>
      </w:r>
      <w:r>
        <w:rPr>
          <w:rFonts w:ascii="Times New Roman" w:hAnsi="Times New Roman" w:cs="Times New Roman"/>
          <w:sz w:val="24"/>
          <w:szCs w:val="24"/>
        </w:rPr>
        <w:t xml:space="preserve">  An insurance pool may be based upon reinsurance arrangements wherein an insurer is reinsured for insurance risks or on insurance policies written to insureds.  Pooling arrangements are contractual in nature whether documented as an insurance or contractual arrangement.</w:t>
      </w:r>
      <w:r>
        <w:rPr>
          <w:rStyle w:val="EndnoteReference"/>
          <w:rFonts w:ascii="Times New Roman" w:hAnsi="Times New Roman" w:cs="Times New Roman"/>
          <w:sz w:val="24"/>
          <w:szCs w:val="24"/>
        </w:rPr>
        <w:endnoteReference w:id="34"/>
      </w:r>
      <w:r>
        <w:rPr>
          <w:rFonts w:ascii="Times New Roman" w:hAnsi="Times New Roman" w:cs="Times New Roman"/>
          <w:sz w:val="24"/>
          <w:szCs w:val="24"/>
        </w:rPr>
        <w:t xml:space="preserve">  There is no industry norm or requirement for pooling to be done either contractually based on an insurance arrangement or simply through a cross contractual arrangement, with both leading to the same result.  In the case of </w:t>
      </w:r>
      <w:r w:rsidRPr="00905900">
        <w:rPr>
          <w:rFonts w:ascii="Times New Roman" w:hAnsi="Times New Roman" w:cs="Times New Roman"/>
          <w:i/>
          <w:sz w:val="24"/>
          <w:szCs w:val="24"/>
        </w:rPr>
        <w:t>Reserve</w:t>
      </w:r>
      <w:r>
        <w:rPr>
          <w:rFonts w:ascii="Times New Roman" w:hAnsi="Times New Roman" w:cs="Times New Roman"/>
          <w:sz w:val="24"/>
          <w:szCs w:val="24"/>
        </w:rPr>
        <w:t>, the risk blending arrangement was performed through a licensed insurer, PoolRe, as an insurance arrangement.  Reinsurance is simply insurance given to an insurer for underlying risks by another insurer.</w:t>
      </w:r>
      <w:r>
        <w:rPr>
          <w:rStyle w:val="EndnoteReference"/>
          <w:rFonts w:ascii="Times New Roman" w:hAnsi="Times New Roman" w:cs="Times New Roman"/>
          <w:sz w:val="24"/>
          <w:szCs w:val="24"/>
        </w:rPr>
        <w:endnoteReference w:id="35"/>
      </w:r>
    </w:p>
    <w:p w14:paraId="22660DAE" w14:textId="7F16DCF1" w:rsidR="000A2139" w:rsidRDefault="000A2139" w:rsidP="00CA6FD3">
      <w:pPr>
        <w:spacing w:after="0" w:line="240" w:lineRule="auto"/>
        <w:rPr>
          <w:rFonts w:ascii="Times New Roman" w:hAnsi="Times New Roman" w:cs="Times New Roman"/>
          <w:sz w:val="24"/>
          <w:szCs w:val="24"/>
        </w:rPr>
      </w:pPr>
    </w:p>
    <w:p w14:paraId="2B2717EB" w14:textId="25A3AA46" w:rsidR="000A2139" w:rsidRPr="00F55FF7" w:rsidRDefault="000A2139" w:rsidP="00F55FF7">
      <w:pPr>
        <w:pStyle w:val="Heading2"/>
        <w:spacing w:before="0" w:line="240" w:lineRule="auto"/>
        <w:rPr>
          <w:rFonts w:ascii="Times New Roman" w:hAnsi="Times New Roman" w:cs="Times New Roman"/>
          <w:b/>
          <w:color w:val="auto"/>
          <w:sz w:val="24"/>
          <w:szCs w:val="24"/>
        </w:rPr>
      </w:pPr>
      <w:bookmarkStart w:id="15" w:name="_Toc533076780"/>
      <w:bookmarkStart w:id="16" w:name="_Toc534366170"/>
      <w:r>
        <w:rPr>
          <w:rFonts w:ascii="Times New Roman" w:hAnsi="Times New Roman" w:cs="Times New Roman"/>
          <w:b/>
          <w:color w:val="auto"/>
          <w:sz w:val="24"/>
          <w:szCs w:val="24"/>
        </w:rPr>
        <w:t xml:space="preserve">A.  </w:t>
      </w:r>
      <w:r w:rsidRPr="00F55FF7">
        <w:rPr>
          <w:rFonts w:ascii="Times New Roman" w:hAnsi="Times New Roman" w:cs="Times New Roman"/>
          <w:b/>
          <w:color w:val="auto"/>
          <w:sz w:val="24"/>
          <w:szCs w:val="24"/>
        </w:rPr>
        <w:t xml:space="preserve">Court Applied a New Legal Standard to PoolRe, Creating an </w:t>
      </w:r>
      <w:r>
        <w:rPr>
          <w:rFonts w:ascii="Times New Roman" w:hAnsi="Times New Roman" w:cs="Times New Roman"/>
          <w:b/>
          <w:color w:val="auto"/>
          <w:sz w:val="24"/>
          <w:szCs w:val="24"/>
        </w:rPr>
        <w:t>Unc</w:t>
      </w:r>
      <w:r w:rsidRPr="00F55FF7">
        <w:rPr>
          <w:rFonts w:ascii="Times New Roman" w:hAnsi="Times New Roman" w:cs="Times New Roman"/>
          <w:b/>
          <w:color w:val="auto"/>
          <w:sz w:val="24"/>
          <w:szCs w:val="24"/>
        </w:rPr>
        <w:t xml:space="preserve">ontested </w:t>
      </w:r>
      <w:bookmarkEnd w:id="15"/>
      <w:r>
        <w:rPr>
          <w:rFonts w:ascii="Times New Roman" w:hAnsi="Times New Roman" w:cs="Times New Roman"/>
          <w:b/>
          <w:color w:val="auto"/>
          <w:sz w:val="24"/>
          <w:szCs w:val="24"/>
        </w:rPr>
        <w:t>Issue</w:t>
      </w:r>
      <w:bookmarkEnd w:id="16"/>
    </w:p>
    <w:p w14:paraId="7FA9DFBE" w14:textId="77777777" w:rsidR="000A2139" w:rsidRDefault="000A2139" w:rsidP="00CA6FD3">
      <w:pPr>
        <w:spacing w:after="0" w:line="240" w:lineRule="auto"/>
        <w:rPr>
          <w:rFonts w:ascii="Times New Roman" w:hAnsi="Times New Roman" w:cs="Times New Roman"/>
          <w:sz w:val="24"/>
          <w:szCs w:val="24"/>
        </w:rPr>
      </w:pPr>
    </w:p>
    <w:p w14:paraId="40277EB7" w14:textId="77777777" w:rsidR="000A2139" w:rsidRDefault="000A2139" w:rsidP="00CA6FD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Pr="00CE535C">
        <w:rPr>
          <w:rFonts w:ascii="Times New Roman" w:hAnsi="Times New Roman" w:cs="Times New Roman"/>
          <w:i/>
          <w:sz w:val="24"/>
          <w:szCs w:val="24"/>
        </w:rPr>
        <w:t>Reserve</w:t>
      </w:r>
      <w:r>
        <w:rPr>
          <w:rFonts w:ascii="Times New Roman" w:hAnsi="Times New Roman" w:cs="Times New Roman"/>
          <w:sz w:val="24"/>
          <w:szCs w:val="24"/>
        </w:rPr>
        <w:t xml:space="preserve"> Court erred in </w:t>
      </w:r>
      <w:r w:rsidRPr="00296F63">
        <w:rPr>
          <w:rFonts w:ascii="Times New Roman" w:hAnsi="Times New Roman" w:cs="Times New Roman"/>
          <w:sz w:val="24"/>
          <w:szCs w:val="24"/>
        </w:rPr>
        <w:t>creating what was otherwise a non-contested issue – whether PoolRe was a “bona fide insurance company.”  The Court erred in holding that a pooling arrangement must be carried out by an insurance company as an insurance arrangement, which of course is not and never has been the case.  The Court, relying on</w:t>
      </w:r>
      <w:r>
        <w:rPr>
          <w:rFonts w:ascii="Times New Roman" w:hAnsi="Times New Roman" w:cs="Times New Roman"/>
          <w:sz w:val="24"/>
          <w:szCs w:val="24"/>
        </w:rPr>
        <w:t xml:space="preserve"> and expanding </w:t>
      </w:r>
      <w:r w:rsidRPr="00B43AA4">
        <w:rPr>
          <w:rFonts w:ascii="Times New Roman" w:hAnsi="Times New Roman" w:cs="Times New Roman"/>
          <w:i/>
          <w:sz w:val="24"/>
          <w:szCs w:val="24"/>
        </w:rPr>
        <w:t>Avrahami</w:t>
      </w:r>
      <w:r>
        <w:rPr>
          <w:rFonts w:ascii="Times New Roman" w:hAnsi="Times New Roman" w:cs="Times New Roman"/>
          <w:sz w:val="24"/>
          <w:szCs w:val="24"/>
        </w:rPr>
        <w:t xml:space="preserve">, but without regard to the fact that this was not an issue in </w:t>
      </w:r>
      <w:r w:rsidRPr="008E2F2B">
        <w:rPr>
          <w:rFonts w:ascii="Times New Roman" w:hAnsi="Times New Roman" w:cs="Times New Roman"/>
          <w:i/>
          <w:sz w:val="24"/>
          <w:szCs w:val="24"/>
        </w:rPr>
        <w:t>Reserve</w:t>
      </w:r>
      <w:r>
        <w:rPr>
          <w:rFonts w:ascii="Times New Roman" w:hAnsi="Times New Roman" w:cs="Times New Roman"/>
          <w:sz w:val="24"/>
          <w:szCs w:val="24"/>
        </w:rPr>
        <w:t xml:space="preserve">, clearly erred in its conclusion.  And as explained below, </w:t>
      </w:r>
      <w:r w:rsidRPr="00F945C2">
        <w:rPr>
          <w:rFonts w:ascii="Times New Roman" w:hAnsi="Times New Roman" w:cs="Times New Roman"/>
          <w:i/>
          <w:sz w:val="24"/>
          <w:szCs w:val="24"/>
        </w:rPr>
        <w:t>Avrahami’s</w:t>
      </w:r>
      <w:r>
        <w:rPr>
          <w:rFonts w:ascii="Times New Roman" w:hAnsi="Times New Roman" w:cs="Times New Roman"/>
          <w:sz w:val="24"/>
          <w:szCs w:val="24"/>
        </w:rPr>
        <w:t xml:space="preserve"> cite for this proposition to </w:t>
      </w:r>
      <w:r w:rsidRPr="001101B8">
        <w:rPr>
          <w:rFonts w:ascii="Times New Roman" w:hAnsi="Times New Roman" w:cs="Times New Roman"/>
          <w:i/>
          <w:sz w:val="24"/>
          <w:szCs w:val="24"/>
        </w:rPr>
        <w:t>Rent-A-Center</w:t>
      </w:r>
      <w:r>
        <w:rPr>
          <w:rFonts w:ascii="Times New Roman" w:hAnsi="Times New Roman" w:cs="Times New Roman"/>
          <w:sz w:val="24"/>
          <w:szCs w:val="24"/>
        </w:rPr>
        <w:t xml:space="preserve"> was in error in that </w:t>
      </w:r>
      <w:r w:rsidRPr="001101B8">
        <w:rPr>
          <w:rFonts w:ascii="Times New Roman" w:hAnsi="Times New Roman" w:cs="Times New Roman"/>
          <w:i/>
          <w:sz w:val="24"/>
          <w:szCs w:val="24"/>
        </w:rPr>
        <w:t>Rent-A-Center</w:t>
      </w:r>
      <w:r>
        <w:rPr>
          <w:rFonts w:ascii="Times New Roman" w:hAnsi="Times New Roman" w:cs="Times New Roman"/>
          <w:sz w:val="24"/>
          <w:szCs w:val="24"/>
        </w:rPr>
        <w:t xml:space="preserve"> never came close to addressing this issue.</w:t>
      </w:r>
      <w:r>
        <w:rPr>
          <w:rStyle w:val="EndnoteReference"/>
          <w:rFonts w:ascii="Times New Roman" w:hAnsi="Times New Roman" w:cs="Times New Roman"/>
          <w:sz w:val="24"/>
          <w:szCs w:val="24"/>
        </w:rPr>
        <w:endnoteReference w:id="36"/>
      </w:r>
    </w:p>
    <w:p w14:paraId="4634F64A" w14:textId="77777777" w:rsidR="000A2139" w:rsidRDefault="000A2139" w:rsidP="00CA6FD3">
      <w:pPr>
        <w:spacing w:after="0" w:line="240" w:lineRule="auto"/>
        <w:rPr>
          <w:rFonts w:ascii="Times New Roman" w:hAnsi="Times New Roman" w:cs="Times New Roman"/>
          <w:sz w:val="24"/>
          <w:szCs w:val="24"/>
        </w:rPr>
      </w:pPr>
    </w:p>
    <w:p w14:paraId="78D95D7B" w14:textId="3F88B0A0" w:rsidR="000A2139" w:rsidRDefault="000A2139" w:rsidP="001F508A">
      <w:pPr>
        <w:spacing w:after="0" w:line="240" w:lineRule="auto"/>
        <w:rPr>
          <w:rFonts w:ascii="Times New Roman" w:hAnsi="Times New Roman" w:cs="Times New Roman"/>
          <w:sz w:val="24"/>
          <w:szCs w:val="24"/>
        </w:rPr>
      </w:pPr>
      <w:r w:rsidRPr="00CA6FD3">
        <w:rPr>
          <w:rFonts w:ascii="Times New Roman" w:hAnsi="Times New Roman" w:cs="Times New Roman"/>
          <w:sz w:val="24"/>
          <w:szCs w:val="24"/>
        </w:rPr>
        <w:lastRenderedPageBreak/>
        <w:t xml:space="preserve">The Court misapplied a legal standard </w:t>
      </w:r>
      <w:r>
        <w:rPr>
          <w:rFonts w:ascii="Times New Roman" w:hAnsi="Times New Roman" w:cs="Times New Roman"/>
          <w:sz w:val="24"/>
          <w:szCs w:val="24"/>
        </w:rPr>
        <w:t xml:space="preserve">that had never previously been </w:t>
      </w:r>
      <w:r w:rsidRPr="00CA6FD3">
        <w:rPr>
          <w:rFonts w:ascii="Times New Roman" w:hAnsi="Times New Roman" w:cs="Times New Roman"/>
          <w:sz w:val="24"/>
          <w:szCs w:val="24"/>
        </w:rPr>
        <w:t>announced</w:t>
      </w:r>
      <w:r>
        <w:rPr>
          <w:rFonts w:ascii="Times New Roman" w:hAnsi="Times New Roman" w:cs="Times New Roman"/>
          <w:sz w:val="24"/>
          <w:szCs w:val="24"/>
        </w:rPr>
        <w:t xml:space="preserve"> and </w:t>
      </w:r>
      <w:r w:rsidRPr="00CA6FD3">
        <w:rPr>
          <w:rFonts w:ascii="Times New Roman" w:hAnsi="Times New Roman" w:cs="Times New Roman"/>
          <w:sz w:val="24"/>
          <w:szCs w:val="24"/>
        </w:rPr>
        <w:t xml:space="preserve">cited to </w:t>
      </w:r>
      <w:r w:rsidRPr="00BA214D">
        <w:rPr>
          <w:rFonts w:ascii="Times New Roman" w:hAnsi="Times New Roman" w:cs="Times New Roman"/>
          <w:i/>
          <w:sz w:val="24"/>
          <w:szCs w:val="24"/>
        </w:rPr>
        <w:t>Avrahami</w:t>
      </w:r>
      <w:r w:rsidRPr="00CA6FD3">
        <w:rPr>
          <w:rFonts w:ascii="Times New Roman" w:hAnsi="Times New Roman" w:cs="Times New Roman"/>
          <w:sz w:val="24"/>
          <w:szCs w:val="24"/>
        </w:rPr>
        <w:t xml:space="preserve"> to reach an erroneous conclusion on issues first raised</w:t>
      </w:r>
      <w:r>
        <w:rPr>
          <w:rFonts w:ascii="Times New Roman" w:hAnsi="Times New Roman" w:cs="Times New Roman"/>
          <w:sz w:val="24"/>
          <w:szCs w:val="24"/>
        </w:rPr>
        <w:t xml:space="preserve"> in the </w:t>
      </w:r>
      <w:r w:rsidRPr="00433C28">
        <w:rPr>
          <w:rFonts w:ascii="Times New Roman" w:hAnsi="Times New Roman" w:cs="Times New Roman"/>
          <w:i/>
          <w:sz w:val="24"/>
          <w:szCs w:val="24"/>
        </w:rPr>
        <w:t>Avrahami</w:t>
      </w:r>
      <w:r>
        <w:rPr>
          <w:rFonts w:ascii="Times New Roman" w:hAnsi="Times New Roman" w:cs="Times New Roman"/>
          <w:sz w:val="24"/>
          <w:szCs w:val="24"/>
        </w:rPr>
        <w:t xml:space="preserve"> opinion</w:t>
      </w:r>
      <w:r w:rsidRPr="00CA6FD3">
        <w:rPr>
          <w:rFonts w:ascii="Times New Roman" w:hAnsi="Times New Roman" w:cs="Times New Roman"/>
          <w:sz w:val="24"/>
          <w:szCs w:val="24"/>
        </w:rPr>
        <w:t xml:space="preserve"> </w:t>
      </w:r>
      <w:r w:rsidRPr="0027747B">
        <w:rPr>
          <w:rFonts w:ascii="Times New Roman" w:hAnsi="Times New Roman" w:cs="Times New Roman"/>
          <w:sz w:val="24"/>
          <w:szCs w:val="24"/>
          <w:u w:val="single"/>
        </w:rPr>
        <w:t xml:space="preserve">months after trial testimony closed in </w:t>
      </w:r>
      <w:r w:rsidRPr="0027747B">
        <w:rPr>
          <w:rFonts w:ascii="Times New Roman" w:hAnsi="Times New Roman" w:cs="Times New Roman"/>
          <w:i/>
          <w:sz w:val="24"/>
          <w:szCs w:val="24"/>
          <w:u w:val="single"/>
        </w:rPr>
        <w:t>Reserve</w:t>
      </w:r>
      <w:r w:rsidRPr="0027747B">
        <w:rPr>
          <w:rFonts w:ascii="Times New Roman" w:hAnsi="Times New Roman" w:cs="Times New Roman"/>
          <w:sz w:val="24"/>
          <w:szCs w:val="24"/>
          <w:u w:val="single"/>
        </w:rPr>
        <w:t xml:space="preserve"> on May 2, 2017</w:t>
      </w:r>
      <w:r w:rsidRPr="00CA6FD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A6FD3">
        <w:rPr>
          <w:rFonts w:ascii="Times New Roman" w:hAnsi="Times New Roman" w:cs="Times New Roman"/>
          <w:sz w:val="24"/>
          <w:szCs w:val="24"/>
        </w:rPr>
        <w:t>In doing so</w:t>
      </w:r>
      <w:r>
        <w:rPr>
          <w:rFonts w:ascii="Times New Roman" w:hAnsi="Times New Roman" w:cs="Times New Roman"/>
          <w:sz w:val="24"/>
          <w:szCs w:val="24"/>
        </w:rPr>
        <w:t xml:space="preserve">, the Court held that this newly created legal standard was </w:t>
      </w:r>
      <w:r w:rsidRPr="00CA6FD3">
        <w:rPr>
          <w:rFonts w:ascii="Times New Roman" w:hAnsi="Times New Roman" w:cs="Times New Roman"/>
          <w:sz w:val="24"/>
          <w:szCs w:val="24"/>
        </w:rPr>
        <w:t xml:space="preserve">applicable </w:t>
      </w:r>
      <w:r w:rsidRPr="00184BF3">
        <w:rPr>
          <w:rFonts w:ascii="Times New Roman" w:hAnsi="Times New Roman" w:cs="Times New Roman"/>
          <w:b/>
          <w:i/>
          <w:sz w:val="24"/>
          <w:szCs w:val="24"/>
        </w:rPr>
        <w:t>retroactively</w:t>
      </w:r>
      <w:r w:rsidRPr="00CA6FD3">
        <w:rPr>
          <w:rFonts w:ascii="Times New Roman" w:hAnsi="Times New Roman" w:cs="Times New Roman"/>
          <w:sz w:val="24"/>
          <w:szCs w:val="24"/>
        </w:rPr>
        <w:t xml:space="preserve"> to Reserve</w:t>
      </w:r>
      <w:r>
        <w:rPr>
          <w:rFonts w:ascii="Times New Roman" w:hAnsi="Times New Roman" w:cs="Times New Roman"/>
          <w:sz w:val="24"/>
          <w:szCs w:val="24"/>
        </w:rPr>
        <w:t>.</w:t>
      </w:r>
    </w:p>
    <w:p w14:paraId="45E42767" w14:textId="77777777" w:rsidR="000A2139" w:rsidRDefault="000A2139" w:rsidP="001F508A">
      <w:pPr>
        <w:spacing w:after="0" w:line="240" w:lineRule="auto"/>
        <w:rPr>
          <w:rFonts w:ascii="Times New Roman" w:hAnsi="Times New Roman" w:cs="Times New Roman"/>
          <w:sz w:val="24"/>
          <w:szCs w:val="24"/>
        </w:rPr>
      </w:pPr>
    </w:p>
    <w:p w14:paraId="5CC86DA9" w14:textId="7B0A53E2" w:rsidR="000A2139" w:rsidRDefault="000A2139" w:rsidP="001F508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At trial, The Wharton School’s </w:t>
      </w:r>
      <w:r w:rsidRPr="00964487">
        <w:rPr>
          <w:rFonts w:ascii="Times New Roman" w:hAnsi="Times New Roman" w:cs="Times New Roman"/>
          <w:sz w:val="24"/>
          <w:szCs w:val="24"/>
        </w:rPr>
        <w:t>Dr. Neil Dohert</w:t>
      </w:r>
      <w:r>
        <w:rPr>
          <w:rFonts w:ascii="Times New Roman" w:hAnsi="Times New Roman" w:cs="Times New Roman"/>
          <w:sz w:val="24"/>
          <w:szCs w:val="24"/>
        </w:rPr>
        <w:t>y,</w:t>
      </w:r>
      <w:r w:rsidRPr="00CA6FD3">
        <w:rPr>
          <w:rFonts w:ascii="Times New Roman" w:hAnsi="Times New Roman" w:cs="Times New Roman"/>
          <w:sz w:val="24"/>
          <w:szCs w:val="24"/>
        </w:rPr>
        <w:t xml:space="preserve"> </w:t>
      </w:r>
      <w:r>
        <w:rPr>
          <w:rFonts w:ascii="Times New Roman" w:hAnsi="Times New Roman" w:cs="Times New Roman"/>
          <w:sz w:val="24"/>
          <w:szCs w:val="24"/>
        </w:rPr>
        <w:t>r</w:t>
      </w:r>
      <w:r w:rsidRPr="00964487">
        <w:rPr>
          <w:rFonts w:ascii="Times New Roman" w:hAnsi="Times New Roman" w:cs="Times New Roman"/>
          <w:sz w:val="24"/>
          <w:szCs w:val="24"/>
        </w:rPr>
        <w:t>enowned insurance economist</w:t>
      </w:r>
      <w:r>
        <w:rPr>
          <w:rFonts w:ascii="Times New Roman" w:hAnsi="Times New Roman" w:cs="Times New Roman"/>
          <w:sz w:val="24"/>
          <w:szCs w:val="24"/>
        </w:rPr>
        <w:t>,</w:t>
      </w:r>
      <w:r w:rsidRPr="00CA6FD3">
        <w:rPr>
          <w:rFonts w:ascii="Times New Roman" w:hAnsi="Times New Roman" w:cs="Times New Roman"/>
          <w:sz w:val="24"/>
          <w:szCs w:val="24"/>
        </w:rPr>
        <w:t xml:space="preserve"> testified that risk pooling arrangements like that of PoolRe are common in the insurance industry and that the particular arrangement between Reserve and PoolRe provided a level of risk diversification that “sailed” past that found in </w:t>
      </w:r>
      <w:r w:rsidRPr="00DA49AE">
        <w:rPr>
          <w:rFonts w:ascii="Times New Roman" w:hAnsi="Times New Roman" w:cs="Times New Roman"/>
          <w:i/>
          <w:sz w:val="24"/>
          <w:szCs w:val="24"/>
        </w:rPr>
        <w:t>Harper</w:t>
      </w:r>
      <w:r w:rsidRPr="00CA6FD3">
        <w:rPr>
          <w:rFonts w:ascii="Times New Roman" w:hAnsi="Times New Roman" w:cs="Times New Roman"/>
          <w:sz w:val="24"/>
          <w:szCs w:val="24"/>
        </w:rPr>
        <w:t>, in which case he had previously testified and was cited by the court in that opinion</w:t>
      </w:r>
      <w:r>
        <w:rPr>
          <w:rFonts w:ascii="Times New Roman" w:hAnsi="Times New Roman" w:cs="Times New Roman"/>
          <w:sz w:val="24"/>
          <w:szCs w:val="24"/>
        </w:rPr>
        <w:t xml:space="preserve"> in holding for the taxpayer</w:t>
      </w:r>
      <w:r w:rsidRPr="00CA6FD3">
        <w:rPr>
          <w:rFonts w:ascii="Times New Roman" w:hAnsi="Times New Roman" w:cs="Times New Roman"/>
          <w:sz w:val="24"/>
          <w:szCs w:val="24"/>
        </w:rPr>
        <w:t>.</w:t>
      </w:r>
      <w:r>
        <w:rPr>
          <w:rStyle w:val="EndnoteReference"/>
          <w:rFonts w:ascii="Times New Roman" w:hAnsi="Times New Roman" w:cs="Times New Roman"/>
          <w:sz w:val="24"/>
          <w:szCs w:val="24"/>
        </w:rPr>
        <w:endnoteReference w:id="37"/>
      </w:r>
      <w:r>
        <w:rPr>
          <w:rFonts w:ascii="Times New Roman" w:hAnsi="Times New Roman" w:cs="Times New Roman"/>
          <w:sz w:val="24"/>
          <w:szCs w:val="24"/>
        </w:rPr>
        <w:t xml:space="preserve">  The government offered no contrary evidence at </w:t>
      </w:r>
      <w:r w:rsidRPr="00F945C2">
        <w:rPr>
          <w:rFonts w:ascii="Times New Roman" w:hAnsi="Times New Roman" w:cs="Times New Roman"/>
          <w:i/>
          <w:sz w:val="24"/>
          <w:szCs w:val="24"/>
        </w:rPr>
        <w:t>Reserve</w:t>
      </w:r>
      <w:r>
        <w:rPr>
          <w:rFonts w:ascii="Times New Roman" w:hAnsi="Times New Roman" w:cs="Times New Roman"/>
          <w:sz w:val="24"/>
          <w:szCs w:val="24"/>
        </w:rPr>
        <w:t>’s trial.</w:t>
      </w:r>
    </w:p>
    <w:p w14:paraId="1023E508" w14:textId="77777777" w:rsidR="000A2139" w:rsidRDefault="000A2139" w:rsidP="001F508A">
      <w:pPr>
        <w:spacing w:after="0" w:line="240" w:lineRule="auto"/>
        <w:rPr>
          <w:rFonts w:ascii="Times New Roman" w:hAnsi="Times New Roman" w:cs="Times New Roman"/>
          <w:sz w:val="24"/>
          <w:szCs w:val="24"/>
        </w:rPr>
      </w:pPr>
    </w:p>
    <w:p w14:paraId="4C162851" w14:textId="527B5E84" w:rsidR="000A2139" w:rsidRDefault="000A2139" w:rsidP="001F508A">
      <w:pPr>
        <w:spacing w:after="0" w:line="240" w:lineRule="auto"/>
        <w:rPr>
          <w:rFonts w:ascii="Times New Roman" w:hAnsi="Times New Roman" w:cs="Times New Roman"/>
          <w:sz w:val="24"/>
          <w:szCs w:val="24"/>
        </w:rPr>
      </w:pPr>
      <w:r>
        <w:rPr>
          <w:rFonts w:ascii="Times New Roman" w:hAnsi="Times New Roman" w:cs="Times New Roman"/>
          <w:sz w:val="24"/>
          <w:szCs w:val="24"/>
        </w:rPr>
        <w:t>In addition, industry expert Robert Snyder testified regarding the pooling arrangement administered by PoolRe that: (1) t</w:t>
      </w:r>
      <w:r w:rsidRPr="00EC2971">
        <w:rPr>
          <w:rFonts w:ascii="Times New Roman" w:hAnsi="Times New Roman" w:cs="Times New Roman"/>
          <w:sz w:val="24"/>
          <w:szCs w:val="24"/>
        </w:rPr>
        <w:t xml:space="preserve">he </w:t>
      </w:r>
      <w:r>
        <w:rPr>
          <w:rFonts w:ascii="Times New Roman" w:hAnsi="Times New Roman" w:cs="Times New Roman"/>
          <w:sz w:val="24"/>
          <w:szCs w:val="24"/>
        </w:rPr>
        <w:t>“</w:t>
      </w:r>
      <w:r w:rsidRPr="00EC2971">
        <w:rPr>
          <w:rFonts w:ascii="Times New Roman" w:hAnsi="Times New Roman" w:cs="Times New Roman"/>
          <w:sz w:val="24"/>
          <w:szCs w:val="24"/>
        </w:rPr>
        <w:t>stop</w:t>
      </w:r>
      <w:r>
        <w:rPr>
          <w:rFonts w:ascii="Times New Roman" w:hAnsi="Times New Roman" w:cs="Times New Roman"/>
          <w:sz w:val="24"/>
          <w:szCs w:val="24"/>
        </w:rPr>
        <w:t xml:space="preserve"> </w:t>
      </w:r>
      <w:r w:rsidRPr="00EC2971">
        <w:rPr>
          <w:rFonts w:ascii="Times New Roman" w:hAnsi="Times New Roman" w:cs="Times New Roman"/>
          <w:sz w:val="24"/>
          <w:szCs w:val="24"/>
        </w:rPr>
        <w:t>loss</w:t>
      </w:r>
      <w:r>
        <w:rPr>
          <w:rFonts w:ascii="Times New Roman" w:hAnsi="Times New Roman" w:cs="Times New Roman"/>
          <w:sz w:val="24"/>
          <w:szCs w:val="24"/>
        </w:rPr>
        <w:t xml:space="preserve">” and “reinsurance premium” </w:t>
      </w:r>
      <w:r w:rsidRPr="00EC2971">
        <w:rPr>
          <w:rFonts w:ascii="Times New Roman" w:hAnsi="Times New Roman" w:cs="Times New Roman"/>
          <w:sz w:val="24"/>
          <w:szCs w:val="24"/>
        </w:rPr>
        <w:t>structure</w:t>
      </w:r>
      <w:r>
        <w:rPr>
          <w:rFonts w:ascii="Times New Roman" w:hAnsi="Times New Roman" w:cs="Times New Roman"/>
          <w:sz w:val="24"/>
          <w:szCs w:val="24"/>
        </w:rPr>
        <w:t xml:space="preserve"> employed in this pooling arrangement</w:t>
      </w:r>
      <w:r w:rsidRPr="00EC2971">
        <w:rPr>
          <w:rFonts w:ascii="Times New Roman" w:hAnsi="Times New Roman" w:cs="Times New Roman"/>
          <w:sz w:val="24"/>
          <w:szCs w:val="24"/>
        </w:rPr>
        <w:t xml:space="preserve"> </w:t>
      </w:r>
      <w:r>
        <w:rPr>
          <w:rFonts w:ascii="Times New Roman" w:hAnsi="Times New Roman" w:cs="Times New Roman"/>
          <w:sz w:val="24"/>
          <w:szCs w:val="24"/>
        </w:rPr>
        <w:t>was</w:t>
      </w:r>
      <w:r w:rsidRPr="00EC2971">
        <w:rPr>
          <w:rFonts w:ascii="Times New Roman" w:hAnsi="Times New Roman" w:cs="Times New Roman"/>
          <w:sz w:val="24"/>
          <w:szCs w:val="24"/>
        </w:rPr>
        <w:t xml:space="preserve"> </w:t>
      </w:r>
      <w:r>
        <w:rPr>
          <w:rFonts w:ascii="Times New Roman" w:hAnsi="Times New Roman" w:cs="Times New Roman"/>
          <w:sz w:val="24"/>
          <w:szCs w:val="24"/>
        </w:rPr>
        <w:t xml:space="preserve">a common insurance industry structure and </w:t>
      </w:r>
      <w:r w:rsidRPr="00EC2971">
        <w:rPr>
          <w:rFonts w:ascii="Times New Roman" w:hAnsi="Times New Roman" w:cs="Times New Roman"/>
          <w:sz w:val="24"/>
          <w:szCs w:val="24"/>
        </w:rPr>
        <w:t xml:space="preserve">a reasonable </w:t>
      </w:r>
      <w:r>
        <w:rPr>
          <w:rFonts w:ascii="Times New Roman" w:hAnsi="Times New Roman" w:cs="Times New Roman"/>
          <w:sz w:val="24"/>
          <w:szCs w:val="24"/>
        </w:rPr>
        <w:t xml:space="preserve">alternative so as </w:t>
      </w:r>
      <w:r w:rsidRPr="00EC2971">
        <w:rPr>
          <w:rFonts w:ascii="Times New Roman" w:hAnsi="Times New Roman" w:cs="Times New Roman"/>
          <w:sz w:val="24"/>
          <w:szCs w:val="24"/>
        </w:rPr>
        <w:t>to limit</w:t>
      </w:r>
      <w:r>
        <w:rPr>
          <w:rFonts w:ascii="Times New Roman" w:hAnsi="Times New Roman" w:cs="Times New Roman"/>
          <w:sz w:val="24"/>
          <w:szCs w:val="24"/>
        </w:rPr>
        <w:t xml:space="preserve"> </w:t>
      </w:r>
      <w:r w:rsidRPr="00EC2971">
        <w:rPr>
          <w:rFonts w:ascii="Times New Roman" w:hAnsi="Times New Roman" w:cs="Times New Roman"/>
          <w:sz w:val="24"/>
          <w:szCs w:val="24"/>
        </w:rPr>
        <w:t xml:space="preserve">the liability </w:t>
      </w:r>
      <w:r w:rsidRPr="002D33EE">
        <w:rPr>
          <w:rFonts w:ascii="Times New Roman" w:hAnsi="Times New Roman" w:cs="Times New Roman"/>
          <w:sz w:val="24"/>
          <w:szCs w:val="24"/>
        </w:rPr>
        <w:t>of the “primary” insurer (i.e., a captive insuring one or more of its affiliates) by assuring the insured(s) of a source of funds to pay losses which may be in excess of the amounts that the primary insurer desires to retain</w:t>
      </w:r>
      <w:r w:rsidRPr="002D33EE">
        <w:rPr>
          <w:rStyle w:val="EndnoteReference"/>
          <w:rFonts w:ascii="Times New Roman" w:hAnsi="Times New Roman" w:cs="Times New Roman"/>
          <w:sz w:val="24"/>
          <w:szCs w:val="24"/>
        </w:rPr>
        <w:endnoteReference w:id="38"/>
      </w:r>
      <w:r w:rsidRPr="002D33EE">
        <w:rPr>
          <w:rFonts w:ascii="Times New Roman" w:hAnsi="Times New Roman" w:cs="Times New Roman"/>
          <w:sz w:val="24"/>
          <w:szCs w:val="24"/>
        </w:rPr>
        <w:t xml:space="preserve"> and (2) both the quota share and stop loss premium paid to PoolRe and the premiums ceded by PoolRe to the participating captives were reasonable.</w:t>
      </w:r>
      <w:r w:rsidRPr="002D33EE">
        <w:rPr>
          <w:rStyle w:val="EndnoteReference"/>
          <w:rFonts w:ascii="Times New Roman" w:hAnsi="Times New Roman" w:cs="Times New Roman"/>
          <w:sz w:val="24"/>
          <w:szCs w:val="24"/>
        </w:rPr>
        <w:endnoteReference w:id="39"/>
      </w:r>
    </w:p>
    <w:p w14:paraId="09157F0D" w14:textId="77777777" w:rsidR="000A2139" w:rsidRDefault="000A2139" w:rsidP="001F508A">
      <w:pPr>
        <w:spacing w:after="0" w:line="240" w:lineRule="auto"/>
        <w:rPr>
          <w:rFonts w:ascii="Times New Roman" w:hAnsi="Times New Roman" w:cs="Times New Roman"/>
          <w:sz w:val="24"/>
          <w:szCs w:val="24"/>
        </w:rPr>
      </w:pPr>
    </w:p>
    <w:p w14:paraId="18B7BE1D" w14:textId="3D839D41" w:rsidR="000A2139" w:rsidRDefault="000A2139" w:rsidP="00ED09F4">
      <w:pPr>
        <w:spacing w:after="0" w:line="240" w:lineRule="auto"/>
        <w:rPr>
          <w:rFonts w:ascii="Times New Roman" w:hAnsi="Times New Roman" w:cs="Times New Roman"/>
          <w:sz w:val="24"/>
          <w:szCs w:val="24"/>
        </w:rPr>
      </w:pPr>
      <w:r>
        <w:rPr>
          <w:rFonts w:ascii="Times New Roman" w:hAnsi="Times New Roman" w:cs="Times New Roman"/>
          <w:sz w:val="24"/>
          <w:szCs w:val="24"/>
        </w:rPr>
        <w:t>If the Court had conducted this analysis based on the facts before it, the Court would have had to cite to expert testimony from Dr. Doherty, which established each of the following facts:</w:t>
      </w:r>
    </w:p>
    <w:p w14:paraId="5C050E57" w14:textId="77777777" w:rsidR="000A2139" w:rsidRDefault="000A2139" w:rsidP="00ED09F4">
      <w:pPr>
        <w:spacing w:after="0" w:line="240" w:lineRule="auto"/>
        <w:rPr>
          <w:rFonts w:ascii="Times New Roman" w:hAnsi="Times New Roman" w:cs="Times New Roman"/>
          <w:sz w:val="24"/>
          <w:szCs w:val="24"/>
        </w:rPr>
      </w:pPr>
    </w:p>
    <w:p w14:paraId="4903F519" w14:textId="77777777" w:rsidR="000A2139" w:rsidRDefault="000A2139" w:rsidP="00ED09F4">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(1) </w:t>
      </w:r>
      <w:r w:rsidRPr="00C07FA9">
        <w:rPr>
          <w:rFonts w:ascii="Times New Roman" w:hAnsi="Times New Roman" w:cs="Times New Roman"/>
          <w:sz w:val="24"/>
          <w:szCs w:val="24"/>
        </w:rPr>
        <w:t xml:space="preserve">the policies </w:t>
      </w:r>
      <w:r>
        <w:rPr>
          <w:rFonts w:ascii="Times New Roman" w:hAnsi="Times New Roman" w:cs="Times New Roman"/>
          <w:sz w:val="24"/>
          <w:szCs w:val="24"/>
        </w:rPr>
        <w:t xml:space="preserve">issued by Reserve to the </w:t>
      </w:r>
      <w:r w:rsidRPr="00C07FA9">
        <w:rPr>
          <w:rFonts w:ascii="Times New Roman" w:hAnsi="Times New Roman" w:cs="Times New Roman"/>
          <w:sz w:val="24"/>
          <w:szCs w:val="24"/>
        </w:rPr>
        <w:t>Peak</w:t>
      </w:r>
      <w:r>
        <w:rPr>
          <w:rFonts w:ascii="Times New Roman" w:hAnsi="Times New Roman" w:cs="Times New Roman"/>
          <w:sz w:val="24"/>
          <w:szCs w:val="24"/>
        </w:rPr>
        <w:t xml:space="preserve"> insureds </w:t>
      </w:r>
      <w:r w:rsidRPr="00C07FA9">
        <w:rPr>
          <w:rFonts w:ascii="Times New Roman" w:hAnsi="Times New Roman" w:cs="Times New Roman"/>
          <w:sz w:val="24"/>
          <w:szCs w:val="24"/>
        </w:rPr>
        <w:t>cover</w:t>
      </w:r>
      <w:r>
        <w:rPr>
          <w:rFonts w:ascii="Times New Roman" w:hAnsi="Times New Roman" w:cs="Times New Roman"/>
          <w:sz w:val="24"/>
          <w:szCs w:val="24"/>
        </w:rPr>
        <w:t>ed</w:t>
      </w:r>
      <w:r w:rsidRPr="00C07FA9">
        <w:rPr>
          <w:rFonts w:ascii="Times New Roman" w:hAnsi="Times New Roman" w:cs="Times New Roman"/>
          <w:sz w:val="24"/>
          <w:szCs w:val="24"/>
        </w:rPr>
        <w:t xml:space="preserve"> risks that are accepted as </w:t>
      </w:r>
      <w:r>
        <w:rPr>
          <w:rFonts w:ascii="Times New Roman" w:hAnsi="Times New Roman" w:cs="Times New Roman"/>
          <w:sz w:val="24"/>
          <w:szCs w:val="24"/>
        </w:rPr>
        <w:t xml:space="preserve">normal types of </w:t>
      </w:r>
      <w:r w:rsidRPr="00C07FA9">
        <w:rPr>
          <w:rFonts w:ascii="Times New Roman" w:hAnsi="Times New Roman" w:cs="Times New Roman"/>
          <w:sz w:val="24"/>
          <w:szCs w:val="24"/>
        </w:rPr>
        <w:t>“insurable risk” and that th</w:t>
      </w:r>
      <w:r>
        <w:rPr>
          <w:rFonts w:ascii="Times New Roman" w:hAnsi="Times New Roman" w:cs="Times New Roman"/>
          <w:sz w:val="24"/>
          <w:szCs w:val="24"/>
        </w:rPr>
        <w:t>ose</w:t>
      </w:r>
      <w:r w:rsidRPr="00C07FA9">
        <w:rPr>
          <w:rFonts w:ascii="Times New Roman" w:hAnsi="Times New Roman" w:cs="Times New Roman"/>
          <w:sz w:val="24"/>
          <w:szCs w:val="24"/>
        </w:rPr>
        <w:t xml:space="preserve"> policies</w:t>
      </w:r>
      <w:r>
        <w:rPr>
          <w:rFonts w:ascii="Times New Roman" w:hAnsi="Times New Roman" w:cs="Times New Roman"/>
          <w:sz w:val="24"/>
          <w:szCs w:val="24"/>
        </w:rPr>
        <w:t xml:space="preserve"> </w:t>
      </w:r>
      <w:r w:rsidRPr="00C07FA9">
        <w:rPr>
          <w:rFonts w:ascii="Times New Roman" w:hAnsi="Times New Roman" w:cs="Times New Roman"/>
          <w:sz w:val="24"/>
          <w:szCs w:val="24"/>
        </w:rPr>
        <w:t>resemble</w:t>
      </w:r>
      <w:r>
        <w:rPr>
          <w:rFonts w:ascii="Times New Roman" w:hAnsi="Times New Roman" w:cs="Times New Roman"/>
          <w:sz w:val="24"/>
          <w:szCs w:val="24"/>
        </w:rPr>
        <w:t>d</w:t>
      </w:r>
      <w:r w:rsidRPr="00C07FA9">
        <w:rPr>
          <w:rFonts w:ascii="Times New Roman" w:hAnsi="Times New Roman" w:cs="Times New Roman"/>
          <w:sz w:val="24"/>
          <w:szCs w:val="24"/>
        </w:rPr>
        <w:t xml:space="preserve"> those commonly encountered in the insurance marketplace</w:t>
      </w:r>
      <w:r>
        <w:rPr>
          <w:rFonts w:ascii="Times New Roman" w:hAnsi="Times New Roman" w:cs="Times New Roman"/>
          <w:sz w:val="24"/>
          <w:szCs w:val="24"/>
        </w:rPr>
        <w:t>,</w:t>
      </w:r>
      <w:r>
        <w:rPr>
          <w:rStyle w:val="EndnoteReference"/>
          <w:rFonts w:ascii="Times New Roman" w:hAnsi="Times New Roman" w:cs="Times New Roman"/>
          <w:sz w:val="24"/>
          <w:szCs w:val="24"/>
        </w:rPr>
        <w:endnoteReference w:id="40"/>
      </w:r>
    </w:p>
    <w:p w14:paraId="37DEA396" w14:textId="77777777" w:rsidR="000A2139" w:rsidRDefault="000A2139" w:rsidP="00ED09F4">
      <w:pPr>
        <w:spacing w:after="0" w:line="240" w:lineRule="auto"/>
        <w:ind w:firstLine="720"/>
        <w:rPr>
          <w:rFonts w:ascii="Times New Roman" w:hAnsi="Times New Roman" w:cs="Times New Roman"/>
          <w:sz w:val="24"/>
          <w:szCs w:val="24"/>
        </w:rPr>
      </w:pPr>
    </w:p>
    <w:p w14:paraId="733693B8" w14:textId="77777777" w:rsidR="000A2139" w:rsidRDefault="000A2139" w:rsidP="00ED09F4">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(2) by participating in the PoolRe pooling arrangement, Reserve</w:t>
      </w:r>
      <w:r w:rsidRPr="002D5A95">
        <w:rPr>
          <w:rFonts w:ascii="Times New Roman" w:hAnsi="Times New Roman" w:cs="Times New Roman"/>
          <w:sz w:val="24"/>
          <w:szCs w:val="24"/>
        </w:rPr>
        <w:t xml:space="preserve"> insure</w:t>
      </w:r>
      <w:r>
        <w:rPr>
          <w:rFonts w:ascii="Times New Roman" w:hAnsi="Times New Roman" w:cs="Times New Roman"/>
          <w:sz w:val="24"/>
          <w:szCs w:val="24"/>
        </w:rPr>
        <w:t>d</w:t>
      </w:r>
      <w:r w:rsidRPr="002D5A95">
        <w:rPr>
          <w:rFonts w:ascii="Times New Roman" w:hAnsi="Times New Roman" w:cs="Times New Roman"/>
          <w:sz w:val="24"/>
          <w:szCs w:val="24"/>
        </w:rPr>
        <w:t xml:space="preserve"> </w:t>
      </w:r>
      <w:r>
        <w:rPr>
          <w:rFonts w:ascii="Times New Roman" w:hAnsi="Times New Roman" w:cs="Times New Roman"/>
          <w:sz w:val="24"/>
          <w:szCs w:val="24"/>
        </w:rPr>
        <w:t xml:space="preserve">the lower layer </w:t>
      </w:r>
      <w:r w:rsidRPr="002D5A95">
        <w:rPr>
          <w:rFonts w:ascii="Times New Roman" w:hAnsi="Times New Roman" w:cs="Times New Roman"/>
          <w:sz w:val="24"/>
          <w:szCs w:val="24"/>
        </w:rPr>
        <w:t>of its insurable exposures</w:t>
      </w:r>
      <w:r>
        <w:rPr>
          <w:rFonts w:ascii="Times New Roman" w:hAnsi="Times New Roman" w:cs="Times New Roman"/>
          <w:sz w:val="24"/>
          <w:szCs w:val="24"/>
        </w:rPr>
        <w:t>, with the higher layer of its insurable exposures</w:t>
      </w:r>
      <w:r w:rsidRPr="002D5A95">
        <w:rPr>
          <w:rFonts w:ascii="Times New Roman" w:hAnsi="Times New Roman" w:cs="Times New Roman"/>
          <w:sz w:val="24"/>
          <w:szCs w:val="24"/>
        </w:rPr>
        <w:t xml:space="preserve"> </w:t>
      </w:r>
      <w:r>
        <w:rPr>
          <w:rFonts w:ascii="Times New Roman" w:hAnsi="Times New Roman" w:cs="Times New Roman"/>
          <w:sz w:val="24"/>
          <w:szCs w:val="24"/>
        </w:rPr>
        <w:t xml:space="preserve">being insured </w:t>
      </w:r>
      <w:r w:rsidRPr="002D5A95">
        <w:rPr>
          <w:rFonts w:ascii="Times New Roman" w:hAnsi="Times New Roman" w:cs="Times New Roman"/>
          <w:sz w:val="24"/>
          <w:szCs w:val="24"/>
        </w:rPr>
        <w:t>with an outside insurer</w:t>
      </w:r>
      <w:r>
        <w:rPr>
          <w:rFonts w:ascii="Times New Roman" w:hAnsi="Times New Roman" w:cs="Times New Roman"/>
          <w:sz w:val="24"/>
          <w:szCs w:val="24"/>
        </w:rPr>
        <w:t xml:space="preserve"> (</w:t>
      </w:r>
      <w:r w:rsidRPr="002D5A95">
        <w:rPr>
          <w:rFonts w:ascii="Times New Roman" w:hAnsi="Times New Roman" w:cs="Times New Roman"/>
          <w:sz w:val="24"/>
          <w:szCs w:val="24"/>
        </w:rPr>
        <w:t>PoolRe</w:t>
      </w:r>
      <w:r>
        <w:rPr>
          <w:rFonts w:ascii="Times New Roman" w:hAnsi="Times New Roman" w:cs="Times New Roman"/>
          <w:sz w:val="24"/>
          <w:szCs w:val="24"/>
        </w:rPr>
        <w:t xml:space="preserve">) pursuant to </w:t>
      </w:r>
      <w:r w:rsidRPr="002D5A95">
        <w:rPr>
          <w:rFonts w:ascii="Times New Roman" w:hAnsi="Times New Roman" w:cs="Times New Roman"/>
          <w:sz w:val="24"/>
          <w:szCs w:val="24"/>
        </w:rPr>
        <w:t>a common insurance practice of layering risk</w:t>
      </w:r>
      <w:r>
        <w:rPr>
          <w:rFonts w:ascii="Times New Roman" w:hAnsi="Times New Roman" w:cs="Times New Roman"/>
          <w:sz w:val="24"/>
          <w:szCs w:val="24"/>
        </w:rPr>
        <w:t>,</w:t>
      </w:r>
      <w:r>
        <w:rPr>
          <w:rStyle w:val="EndnoteReference"/>
          <w:rFonts w:ascii="Times New Roman" w:hAnsi="Times New Roman" w:cs="Times New Roman"/>
          <w:sz w:val="24"/>
          <w:szCs w:val="24"/>
        </w:rPr>
        <w:endnoteReference w:id="41"/>
      </w:r>
    </w:p>
    <w:p w14:paraId="0FCDFF12" w14:textId="77777777" w:rsidR="000A2139" w:rsidRDefault="000A2139" w:rsidP="00ED09F4">
      <w:pPr>
        <w:spacing w:after="0" w:line="240" w:lineRule="auto"/>
        <w:ind w:firstLine="720"/>
        <w:rPr>
          <w:rFonts w:ascii="Times New Roman" w:hAnsi="Times New Roman" w:cs="Times New Roman"/>
          <w:sz w:val="24"/>
          <w:szCs w:val="24"/>
        </w:rPr>
      </w:pPr>
    </w:p>
    <w:p w14:paraId="6CBF0784" w14:textId="77777777" w:rsidR="000A2139" w:rsidRDefault="000A2139" w:rsidP="00ED09F4">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(3) by participating in the PoolRe pooling arrangement, </w:t>
      </w:r>
      <w:r w:rsidRPr="00A55E79">
        <w:rPr>
          <w:rFonts w:ascii="Times New Roman" w:hAnsi="Times New Roman" w:cs="Times New Roman"/>
          <w:sz w:val="24"/>
          <w:szCs w:val="24"/>
        </w:rPr>
        <w:t>Reserve</w:t>
      </w:r>
      <w:r>
        <w:rPr>
          <w:rFonts w:ascii="Times New Roman" w:hAnsi="Times New Roman" w:cs="Times New Roman"/>
          <w:sz w:val="24"/>
          <w:szCs w:val="24"/>
        </w:rPr>
        <w:t>’s insured risks</w:t>
      </w:r>
      <w:r w:rsidRPr="00A55E79">
        <w:rPr>
          <w:rFonts w:ascii="Times New Roman" w:hAnsi="Times New Roman" w:cs="Times New Roman"/>
          <w:sz w:val="24"/>
          <w:szCs w:val="24"/>
        </w:rPr>
        <w:t xml:space="preserve"> </w:t>
      </w:r>
      <w:r>
        <w:rPr>
          <w:rFonts w:ascii="Times New Roman" w:hAnsi="Times New Roman" w:cs="Times New Roman"/>
          <w:sz w:val="24"/>
          <w:szCs w:val="24"/>
        </w:rPr>
        <w:t>we</w:t>
      </w:r>
      <w:r w:rsidRPr="00A55E79">
        <w:rPr>
          <w:rFonts w:ascii="Times New Roman" w:hAnsi="Times New Roman" w:cs="Times New Roman"/>
          <w:sz w:val="24"/>
          <w:szCs w:val="24"/>
        </w:rPr>
        <w:t>re co</w:t>
      </w:r>
      <w:r>
        <w:rPr>
          <w:rFonts w:ascii="Times New Roman" w:hAnsi="Times New Roman" w:cs="Times New Roman"/>
          <w:sz w:val="24"/>
          <w:szCs w:val="24"/>
        </w:rPr>
        <w:t>m</w:t>
      </w:r>
      <w:r w:rsidRPr="00A55E79">
        <w:rPr>
          <w:rFonts w:ascii="Times New Roman" w:hAnsi="Times New Roman" w:cs="Times New Roman"/>
          <w:sz w:val="24"/>
          <w:szCs w:val="24"/>
        </w:rPr>
        <w:t xml:space="preserve">mingled with </w:t>
      </w:r>
      <w:r>
        <w:rPr>
          <w:rFonts w:ascii="Times New Roman" w:hAnsi="Times New Roman" w:cs="Times New Roman"/>
          <w:sz w:val="24"/>
          <w:szCs w:val="24"/>
        </w:rPr>
        <w:t>insurable risks</w:t>
      </w:r>
      <w:r w:rsidRPr="00A55E79">
        <w:rPr>
          <w:rFonts w:ascii="Times New Roman" w:hAnsi="Times New Roman" w:cs="Times New Roman"/>
          <w:sz w:val="24"/>
          <w:szCs w:val="24"/>
        </w:rPr>
        <w:t xml:space="preserve"> of more than 50 </w:t>
      </w:r>
      <w:r>
        <w:rPr>
          <w:rFonts w:ascii="Times New Roman" w:hAnsi="Times New Roman" w:cs="Times New Roman"/>
          <w:sz w:val="24"/>
          <w:szCs w:val="24"/>
        </w:rPr>
        <w:t xml:space="preserve">unrelated </w:t>
      </w:r>
      <w:r w:rsidRPr="00A55E79">
        <w:rPr>
          <w:rFonts w:ascii="Times New Roman" w:hAnsi="Times New Roman" w:cs="Times New Roman"/>
          <w:sz w:val="24"/>
          <w:szCs w:val="24"/>
        </w:rPr>
        <w:t>insurance</w:t>
      </w:r>
      <w:r>
        <w:rPr>
          <w:rFonts w:ascii="Times New Roman" w:hAnsi="Times New Roman" w:cs="Times New Roman"/>
          <w:sz w:val="24"/>
          <w:szCs w:val="24"/>
        </w:rPr>
        <w:t xml:space="preserve"> </w:t>
      </w:r>
      <w:r w:rsidRPr="00A55E79">
        <w:rPr>
          <w:rFonts w:ascii="Times New Roman" w:hAnsi="Times New Roman" w:cs="Times New Roman"/>
          <w:sz w:val="24"/>
          <w:szCs w:val="24"/>
        </w:rPr>
        <w:t>companies</w:t>
      </w:r>
      <w:r>
        <w:rPr>
          <w:rFonts w:ascii="Times New Roman" w:hAnsi="Times New Roman" w:cs="Times New Roman"/>
          <w:sz w:val="24"/>
          <w:szCs w:val="24"/>
        </w:rPr>
        <w:t>,</w:t>
      </w:r>
      <w:r>
        <w:rPr>
          <w:rStyle w:val="EndnoteReference"/>
          <w:rFonts w:ascii="Times New Roman" w:hAnsi="Times New Roman" w:cs="Times New Roman"/>
          <w:sz w:val="24"/>
          <w:szCs w:val="24"/>
        </w:rPr>
        <w:endnoteReference w:id="42"/>
      </w:r>
      <w:r w:rsidRPr="00A55E79">
        <w:rPr>
          <w:rFonts w:ascii="Times New Roman" w:hAnsi="Times New Roman" w:cs="Times New Roman"/>
          <w:sz w:val="24"/>
          <w:szCs w:val="24"/>
        </w:rPr>
        <w:t xml:space="preserve"> and </w:t>
      </w:r>
    </w:p>
    <w:p w14:paraId="779032B5" w14:textId="77777777" w:rsidR="000A2139" w:rsidRDefault="000A2139" w:rsidP="00ED09F4">
      <w:pPr>
        <w:spacing w:after="0" w:line="240" w:lineRule="auto"/>
        <w:ind w:firstLine="720"/>
        <w:rPr>
          <w:rFonts w:ascii="Times New Roman" w:hAnsi="Times New Roman" w:cs="Times New Roman"/>
          <w:sz w:val="24"/>
          <w:szCs w:val="24"/>
        </w:rPr>
      </w:pPr>
    </w:p>
    <w:p w14:paraId="71F64F59" w14:textId="77777777" w:rsidR="000A2139" w:rsidRPr="00AC3C85" w:rsidRDefault="000A2139" w:rsidP="00ED09F4">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(4) Reserve achieved even more risk distribution due to PoolRe</w:t>
      </w:r>
      <w:r w:rsidRPr="00A55E79">
        <w:rPr>
          <w:rFonts w:ascii="Times New Roman" w:hAnsi="Times New Roman" w:cs="Times New Roman"/>
          <w:sz w:val="24"/>
          <w:szCs w:val="24"/>
        </w:rPr>
        <w:t xml:space="preserve"> pool</w:t>
      </w:r>
      <w:r>
        <w:rPr>
          <w:rFonts w:ascii="Times New Roman" w:hAnsi="Times New Roman" w:cs="Times New Roman"/>
          <w:sz w:val="24"/>
          <w:szCs w:val="24"/>
        </w:rPr>
        <w:t>ing</w:t>
      </w:r>
      <w:r w:rsidRPr="00A55E79">
        <w:rPr>
          <w:rFonts w:ascii="Times New Roman" w:hAnsi="Times New Roman" w:cs="Times New Roman"/>
          <w:sz w:val="24"/>
          <w:szCs w:val="24"/>
        </w:rPr>
        <w:t xml:space="preserve"> the</w:t>
      </w:r>
      <w:r>
        <w:rPr>
          <w:rFonts w:ascii="Times New Roman" w:hAnsi="Times New Roman" w:cs="Times New Roman"/>
          <w:sz w:val="24"/>
          <w:szCs w:val="24"/>
        </w:rPr>
        <w:t xml:space="preserve">se </w:t>
      </w:r>
      <w:r w:rsidRPr="00A55E79">
        <w:rPr>
          <w:rFonts w:ascii="Times New Roman" w:hAnsi="Times New Roman" w:cs="Times New Roman"/>
          <w:sz w:val="24"/>
          <w:szCs w:val="24"/>
        </w:rPr>
        <w:t>com</w:t>
      </w:r>
      <w:r>
        <w:rPr>
          <w:rFonts w:ascii="Times New Roman" w:hAnsi="Times New Roman" w:cs="Times New Roman"/>
          <w:sz w:val="24"/>
          <w:szCs w:val="24"/>
        </w:rPr>
        <w:t>m</w:t>
      </w:r>
      <w:r w:rsidRPr="00A55E79">
        <w:rPr>
          <w:rFonts w:ascii="Times New Roman" w:hAnsi="Times New Roman" w:cs="Times New Roman"/>
          <w:sz w:val="24"/>
          <w:szCs w:val="24"/>
        </w:rPr>
        <w:t>ingled</w:t>
      </w:r>
      <w:r>
        <w:rPr>
          <w:rFonts w:ascii="Times New Roman" w:hAnsi="Times New Roman" w:cs="Times New Roman"/>
          <w:sz w:val="24"/>
          <w:szCs w:val="24"/>
        </w:rPr>
        <w:t xml:space="preserve"> </w:t>
      </w:r>
      <w:r w:rsidRPr="00A55E79">
        <w:rPr>
          <w:rFonts w:ascii="Times New Roman" w:hAnsi="Times New Roman" w:cs="Times New Roman"/>
          <w:sz w:val="24"/>
          <w:szCs w:val="24"/>
        </w:rPr>
        <w:t>risk</w:t>
      </w:r>
      <w:r>
        <w:rPr>
          <w:rFonts w:ascii="Times New Roman" w:hAnsi="Times New Roman" w:cs="Times New Roman"/>
          <w:sz w:val="24"/>
          <w:szCs w:val="24"/>
        </w:rPr>
        <w:t>s</w:t>
      </w:r>
      <w:r w:rsidRPr="00A55E79">
        <w:rPr>
          <w:rFonts w:ascii="Times New Roman" w:hAnsi="Times New Roman" w:cs="Times New Roman"/>
          <w:sz w:val="24"/>
          <w:szCs w:val="24"/>
        </w:rPr>
        <w:t xml:space="preserve"> with</w:t>
      </w:r>
      <w:r>
        <w:rPr>
          <w:rFonts w:ascii="Times New Roman" w:hAnsi="Times New Roman" w:cs="Times New Roman"/>
          <w:sz w:val="24"/>
          <w:szCs w:val="24"/>
        </w:rPr>
        <w:t xml:space="preserve"> the risks of many thousands of other unrelated parties by reinsuring the contractual liability </w:t>
      </w:r>
      <w:r w:rsidRPr="009063C2">
        <w:rPr>
          <w:rFonts w:ascii="Times New Roman" w:hAnsi="Times New Roman" w:cs="Times New Roman"/>
          <w:sz w:val="24"/>
          <w:szCs w:val="24"/>
        </w:rPr>
        <w:t xml:space="preserve">associated with </w:t>
      </w:r>
      <w:r>
        <w:rPr>
          <w:rFonts w:ascii="Times New Roman" w:hAnsi="Times New Roman" w:cs="Times New Roman"/>
          <w:sz w:val="24"/>
          <w:szCs w:val="24"/>
        </w:rPr>
        <w:t>a large pool of risks.</w:t>
      </w:r>
      <w:r>
        <w:rPr>
          <w:rStyle w:val="EndnoteReference"/>
          <w:rFonts w:ascii="Times New Roman" w:hAnsi="Times New Roman" w:cs="Times New Roman"/>
          <w:sz w:val="24"/>
          <w:szCs w:val="24"/>
        </w:rPr>
        <w:endnoteReference w:id="43"/>
      </w:r>
    </w:p>
    <w:p w14:paraId="114F0471" w14:textId="77777777" w:rsidR="000A2139" w:rsidRDefault="000A2139" w:rsidP="00ED09F4">
      <w:pPr>
        <w:spacing w:after="0" w:line="240" w:lineRule="auto"/>
        <w:rPr>
          <w:rFonts w:ascii="Times New Roman" w:hAnsi="Times New Roman" w:cs="Times New Roman"/>
          <w:sz w:val="24"/>
          <w:szCs w:val="24"/>
        </w:rPr>
      </w:pPr>
    </w:p>
    <w:p w14:paraId="1F6A2750" w14:textId="50AF6C45" w:rsidR="000A2139" w:rsidRDefault="000A2139" w:rsidP="00ED09F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To be sure, the government’s sole expert witness, Donald Riggin, readily </w:t>
      </w:r>
      <w:r w:rsidRPr="005B07DC">
        <w:rPr>
          <w:rFonts w:ascii="Times New Roman" w:hAnsi="Times New Roman" w:cs="Times New Roman"/>
          <w:sz w:val="24"/>
          <w:szCs w:val="24"/>
        </w:rPr>
        <w:t>admitted that at least 11 of the 14 policies underwritten by Reserve would be insurance policies covering legitimate risks if analytically based premiums could be established for such policies</w:t>
      </w:r>
      <w:r>
        <w:rPr>
          <w:rFonts w:ascii="Times New Roman" w:hAnsi="Times New Roman" w:cs="Times New Roman"/>
          <w:sz w:val="24"/>
          <w:szCs w:val="24"/>
        </w:rPr>
        <w:t>.</w:t>
      </w:r>
      <w:r>
        <w:rPr>
          <w:rStyle w:val="EndnoteReference"/>
          <w:rFonts w:ascii="Times New Roman" w:hAnsi="Times New Roman" w:cs="Times New Roman"/>
          <w:sz w:val="24"/>
          <w:szCs w:val="24"/>
        </w:rPr>
        <w:endnoteReference w:id="44"/>
      </w:r>
      <w:r>
        <w:rPr>
          <w:rFonts w:ascii="Times New Roman" w:hAnsi="Times New Roman" w:cs="Times New Roman"/>
          <w:sz w:val="24"/>
          <w:szCs w:val="24"/>
        </w:rPr>
        <w:t xml:space="preserve">  The government’s witness acknowledged in his expert report that </w:t>
      </w:r>
      <w:r w:rsidRPr="001A23E9">
        <w:rPr>
          <w:rFonts w:ascii="Times New Roman" w:hAnsi="Times New Roman" w:cs="Times New Roman"/>
          <w:sz w:val="24"/>
          <w:szCs w:val="24"/>
        </w:rPr>
        <w:t xml:space="preserve">PoolRe provided the benefit of risk blending to </w:t>
      </w:r>
      <w:r>
        <w:rPr>
          <w:rFonts w:ascii="Times New Roman" w:hAnsi="Times New Roman" w:cs="Times New Roman"/>
          <w:sz w:val="24"/>
          <w:szCs w:val="24"/>
        </w:rPr>
        <w:t xml:space="preserve">each of </w:t>
      </w:r>
      <w:r w:rsidRPr="001A23E9">
        <w:rPr>
          <w:rFonts w:ascii="Times New Roman" w:hAnsi="Times New Roman" w:cs="Times New Roman"/>
          <w:sz w:val="24"/>
          <w:szCs w:val="24"/>
        </w:rPr>
        <w:t>the participating captives.</w:t>
      </w:r>
      <w:r>
        <w:rPr>
          <w:rStyle w:val="EndnoteReference"/>
          <w:rFonts w:ascii="Times New Roman" w:hAnsi="Times New Roman" w:cs="Times New Roman"/>
          <w:sz w:val="24"/>
          <w:szCs w:val="24"/>
        </w:rPr>
        <w:endnoteReference w:id="45"/>
      </w:r>
      <w:r>
        <w:rPr>
          <w:rFonts w:ascii="Times New Roman" w:hAnsi="Times New Roman" w:cs="Times New Roman"/>
          <w:sz w:val="24"/>
          <w:szCs w:val="24"/>
        </w:rPr>
        <w:t xml:space="preserve">  Yet the Court went outside the record in holding that PoolRe was not an insurance company and that none of the risks set forth in the case were insurance.  In </w:t>
      </w:r>
      <w:r>
        <w:rPr>
          <w:rFonts w:ascii="Times New Roman" w:hAnsi="Times New Roman" w:cs="Times New Roman"/>
          <w:sz w:val="24"/>
          <w:szCs w:val="24"/>
        </w:rPr>
        <w:lastRenderedPageBreak/>
        <w:t>so holding, the Court failed to analyze or even address the exhaustive testimony of the experts holding to the contrary.  The Court was clearly erroneous in its conclusions.</w:t>
      </w:r>
    </w:p>
    <w:p w14:paraId="4672EDBF" w14:textId="77777777" w:rsidR="000A2139" w:rsidRDefault="000A2139" w:rsidP="00ED09F4">
      <w:pPr>
        <w:spacing w:after="0" w:line="240" w:lineRule="auto"/>
        <w:rPr>
          <w:rFonts w:ascii="Times New Roman" w:hAnsi="Times New Roman" w:cs="Times New Roman"/>
          <w:sz w:val="24"/>
          <w:szCs w:val="24"/>
        </w:rPr>
      </w:pPr>
    </w:p>
    <w:p w14:paraId="42178F61" w14:textId="7BB77868" w:rsidR="000A2139" w:rsidRDefault="000A2139" w:rsidP="00ED09F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Despite this expert testimony from both sides and the fact testimony which only came from Reserve, the Court ignored the facts before it and molded the </w:t>
      </w:r>
      <w:r w:rsidRPr="009A1B09">
        <w:rPr>
          <w:rFonts w:ascii="Times New Roman" w:hAnsi="Times New Roman" w:cs="Times New Roman"/>
          <w:i/>
          <w:sz w:val="24"/>
          <w:szCs w:val="24"/>
        </w:rPr>
        <w:t>Reserve</w:t>
      </w:r>
      <w:r>
        <w:rPr>
          <w:rFonts w:ascii="Times New Roman" w:hAnsi="Times New Roman" w:cs="Times New Roman"/>
          <w:sz w:val="24"/>
          <w:szCs w:val="24"/>
        </w:rPr>
        <w:t xml:space="preserve"> facts into </w:t>
      </w:r>
      <w:r w:rsidRPr="00847390">
        <w:rPr>
          <w:rFonts w:ascii="Times New Roman" w:hAnsi="Times New Roman" w:cs="Times New Roman"/>
          <w:i/>
          <w:sz w:val="24"/>
          <w:szCs w:val="24"/>
        </w:rPr>
        <w:t>Avrahami</w:t>
      </w:r>
      <w:r>
        <w:rPr>
          <w:rFonts w:ascii="Times New Roman" w:hAnsi="Times New Roman" w:cs="Times New Roman"/>
          <w:sz w:val="24"/>
          <w:szCs w:val="24"/>
        </w:rPr>
        <w:t xml:space="preserve">’s newly announced </w:t>
      </w:r>
      <w:r w:rsidRPr="00CA6FD3">
        <w:rPr>
          <w:rFonts w:ascii="Times New Roman" w:hAnsi="Times New Roman" w:cs="Times New Roman"/>
          <w:sz w:val="24"/>
          <w:szCs w:val="24"/>
        </w:rPr>
        <w:t xml:space="preserve">requirement </w:t>
      </w:r>
      <w:r>
        <w:rPr>
          <w:rFonts w:ascii="Times New Roman" w:hAnsi="Times New Roman" w:cs="Times New Roman"/>
          <w:sz w:val="24"/>
          <w:szCs w:val="24"/>
        </w:rPr>
        <w:t xml:space="preserve">that a “pooling </w:t>
      </w:r>
      <w:r w:rsidRPr="00CA6FD3">
        <w:rPr>
          <w:rFonts w:ascii="Times New Roman" w:hAnsi="Times New Roman" w:cs="Times New Roman"/>
          <w:sz w:val="24"/>
          <w:szCs w:val="24"/>
        </w:rPr>
        <w:t>arrangement</w:t>
      </w:r>
      <w:r>
        <w:rPr>
          <w:rFonts w:ascii="Times New Roman" w:hAnsi="Times New Roman" w:cs="Times New Roman"/>
          <w:sz w:val="24"/>
          <w:szCs w:val="24"/>
        </w:rPr>
        <w:t>”</w:t>
      </w:r>
      <w:r w:rsidRPr="00CA6FD3">
        <w:rPr>
          <w:rFonts w:ascii="Times New Roman" w:hAnsi="Times New Roman" w:cs="Times New Roman"/>
          <w:sz w:val="24"/>
          <w:szCs w:val="24"/>
        </w:rPr>
        <w:t xml:space="preserve"> </w:t>
      </w:r>
      <w:r>
        <w:rPr>
          <w:rFonts w:ascii="Times New Roman" w:hAnsi="Times New Roman" w:cs="Times New Roman"/>
          <w:sz w:val="24"/>
          <w:szCs w:val="24"/>
        </w:rPr>
        <w:t>must be</w:t>
      </w:r>
      <w:r w:rsidRPr="00CA6FD3">
        <w:rPr>
          <w:rFonts w:ascii="Times New Roman" w:hAnsi="Times New Roman" w:cs="Times New Roman"/>
          <w:sz w:val="24"/>
          <w:szCs w:val="24"/>
        </w:rPr>
        <w:t xml:space="preserve"> </w:t>
      </w:r>
      <w:r>
        <w:rPr>
          <w:rFonts w:ascii="Times New Roman" w:hAnsi="Times New Roman" w:cs="Times New Roman"/>
          <w:sz w:val="24"/>
          <w:szCs w:val="24"/>
        </w:rPr>
        <w:t xml:space="preserve">conducted </w:t>
      </w:r>
      <w:r w:rsidRPr="00CA6FD3">
        <w:rPr>
          <w:rFonts w:ascii="Times New Roman" w:hAnsi="Times New Roman" w:cs="Times New Roman"/>
          <w:sz w:val="24"/>
          <w:szCs w:val="24"/>
        </w:rPr>
        <w:t xml:space="preserve">only through a licensed </w:t>
      </w:r>
      <w:r>
        <w:rPr>
          <w:rFonts w:ascii="Times New Roman" w:hAnsi="Times New Roman" w:cs="Times New Roman"/>
          <w:sz w:val="24"/>
          <w:szCs w:val="24"/>
        </w:rPr>
        <w:t xml:space="preserve">“bona fide </w:t>
      </w:r>
      <w:r w:rsidRPr="00CA6FD3">
        <w:rPr>
          <w:rFonts w:ascii="Times New Roman" w:hAnsi="Times New Roman" w:cs="Times New Roman"/>
          <w:sz w:val="24"/>
          <w:szCs w:val="24"/>
        </w:rPr>
        <w:t>insurance company</w:t>
      </w:r>
      <w:r>
        <w:rPr>
          <w:rFonts w:ascii="Times New Roman" w:hAnsi="Times New Roman" w:cs="Times New Roman"/>
          <w:sz w:val="24"/>
          <w:szCs w:val="24"/>
        </w:rPr>
        <w:t>”</w:t>
      </w:r>
      <w:r>
        <w:rPr>
          <w:rStyle w:val="EndnoteReference"/>
          <w:rFonts w:ascii="Times New Roman" w:hAnsi="Times New Roman" w:cs="Times New Roman"/>
          <w:sz w:val="24"/>
          <w:szCs w:val="24"/>
        </w:rPr>
        <w:endnoteReference w:id="46"/>
      </w:r>
      <w:r>
        <w:rPr>
          <w:rFonts w:ascii="Times New Roman" w:hAnsi="Times New Roman" w:cs="Times New Roman"/>
          <w:sz w:val="24"/>
          <w:szCs w:val="24"/>
        </w:rPr>
        <w:t xml:space="preserve"> applying this newly announced requirement to </w:t>
      </w:r>
      <w:r w:rsidRPr="00DC48BF">
        <w:rPr>
          <w:rFonts w:ascii="Times New Roman" w:hAnsi="Times New Roman" w:cs="Times New Roman"/>
          <w:i/>
          <w:sz w:val="24"/>
          <w:szCs w:val="24"/>
        </w:rPr>
        <w:t>Reserve</w:t>
      </w:r>
      <w:r>
        <w:rPr>
          <w:rFonts w:ascii="Times New Roman" w:hAnsi="Times New Roman" w:cs="Times New Roman"/>
          <w:sz w:val="24"/>
          <w:szCs w:val="24"/>
        </w:rPr>
        <w:t xml:space="preserve"> on a retroactive basis, all while lacking factual support for Reserve not being an insurer.  This requirement has no precedent in insurance law or practice.</w:t>
      </w:r>
    </w:p>
    <w:p w14:paraId="1CE451A9" w14:textId="77777777" w:rsidR="000A2139" w:rsidRDefault="000A2139" w:rsidP="00ED09F4">
      <w:pPr>
        <w:spacing w:after="0" w:line="240" w:lineRule="auto"/>
        <w:rPr>
          <w:rFonts w:ascii="Times New Roman" w:hAnsi="Times New Roman" w:cs="Times New Roman"/>
          <w:sz w:val="24"/>
          <w:szCs w:val="24"/>
        </w:rPr>
      </w:pPr>
    </w:p>
    <w:p w14:paraId="7E1D7690" w14:textId="77777777" w:rsidR="000A2139" w:rsidRDefault="000A2139" w:rsidP="00ED09F4">
      <w:pPr>
        <w:spacing w:after="0" w:line="240" w:lineRule="auto"/>
        <w:rPr>
          <w:rFonts w:ascii="Times New Roman" w:hAnsi="Times New Roman" w:cs="Times New Roman"/>
          <w:sz w:val="24"/>
          <w:szCs w:val="24"/>
        </w:rPr>
      </w:pPr>
      <w:r w:rsidRPr="004C79B0">
        <w:rPr>
          <w:rFonts w:ascii="Times New Roman" w:hAnsi="Times New Roman" w:cs="Times New Roman"/>
          <w:sz w:val="24"/>
          <w:szCs w:val="24"/>
        </w:rPr>
        <w:t xml:space="preserve">Further, despite PoolRe not being a party to the </w:t>
      </w:r>
      <w:r w:rsidRPr="004C79B0">
        <w:rPr>
          <w:rFonts w:ascii="Times New Roman" w:hAnsi="Times New Roman" w:cs="Times New Roman"/>
          <w:i/>
          <w:sz w:val="24"/>
          <w:szCs w:val="24"/>
        </w:rPr>
        <w:t>Reserve</w:t>
      </w:r>
      <w:r w:rsidRPr="004C79B0">
        <w:rPr>
          <w:rFonts w:ascii="Times New Roman" w:hAnsi="Times New Roman" w:cs="Times New Roman"/>
          <w:sz w:val="24"/>
          <w:szCs w:val="24"/>
        </w:rPr>
        <w:t xml:space="preserve"> case and despite this not being an issue in controversy, the Court made this a central tenet of its Opinion.  In establishing this new requirement, the </w:t>
      </w:r>
      <w:r w:rsidRPr="004C79B0">
        <w:rPr>
          <w:rFonts w:ascii="Times New Roman" w:hAnsi="Times New Roman" w:cs="Times New Roman"/>
          <w:i/>
          <w:sz w:val="24"/>
          <w:szCs w:val="24"/>
        </w:rPr>
        <w:t>Avrahami</w:t>
      </w:r>
      <w:r w:rsidRPr="004C79B0">
        <w:rPr>
          <w:rFonts w:ascii="Times New Roman" w:hAnsi="Times New Roman" w:cs="Times New Roman"/>
          <w:sz w:val="24"/>
          <w:szCs w:val="24"/>
        </w:rPr>
        <w:t xml:space="preserve"> court erroneously cited to </w:t>
      </w:r>
      <w:r w:rsidRPr="004C79B0">
        <w:rPr>
          <w:rFonts w:ascii="Times New Roman" w:hAnsi="Times New Roman" w:cs="Times New Roman"/>
          <w:i/>
          <w:sz w:val="24"/>
          <w:szCs w:val="24"/>
        </w:rPr>
        <w:t>Rent-A-Center</w:t>
      </w:r>
      <w:r w:rsidRPr="004C79B0">
        <w:rPr>
          <w:rStyle w:val="EndnoteReference"/>
          <w:rFonts w:ascii="Times New Roman" w:hAnsi="Times New Roman" w:cs="Times New Roman"/>
          <w:i/>
          <w:sz w:val="24"/>
          <w:szCs w:val="24"/>
        </w:rPr>
        <w:endnoteReference w:id="47"/>
      </w:r>
      <w:r w:rsidRPr="004C79B0">
        <w:rPr>
          <w:rFonts w:ascii="Times New Roman" w:hAnsi="Times New Roman" w:cs="Times New Roman"/>
          <w:sz w:val="24"/>
          <w:szCs w:val="24"/>
        </w:rPr>
        <w:t xml:space="preserve"> for the proposition that a pooling arrangement must</w:t>
      </w:r>
      <w:r>
        <w:rPr>
          <w:rFonts w:ascii="Times New Roman" w:hAnsi="Times New Roman" w:cs="Times New Roman"/>
          <w:sz w:val="24"/>
          <w:szCs w:val="24"/>
        </w:rPr>
        <w:t xml:space="preserve"> be conducted through a “bona fide insurance company.”  However, a pooling arrangement was never addressed in that case since </w:t>
      </w:r>
      <w:r w:rsidRPr="00515AA6">
        <w:rPr>
          <w:rFonts w:ascii="Times New Roman" w:hAnsi="Times New Roman" w:cs="Times New Roman"/>
          <w:i/>
          <w:sz w:val="24"/>
          <w:szCs w:val="24"/>
        </w:rPr>
        <w:t>Rent-A-Center</w:t>
      </w:r>
      <w:r>
        <w:rPr>
          <w:rFonts w:ascii="Times New Roman" w:hAnsi="Times New Roman" w:cs="Times New Roman"/>
          <w:sz w:val="24"/>
          <w:szCs w:val="24"/>
        </w:rPr>
        <w:t xml:space="preserve"> did not involve a pooling arrangement.</w:t>
      </w:r>
      <w:r>
        <w:rPr>
          <w:rStyle w:val="EndnoteReference"/>
          <w:rFonts w:ascii="Times New Roman" w:hAnsi="Times New Roman" w:cs="Times New Roman"/>
          <w:sz w:val="24"/>
          <w:szCs w:val="24"/>
        </w:rPr>
        <w:endnoteReference w:id="48"/>
      </w:r>
    </w:p>
    <w:p w14:paraId="4B5A7F07" w14:textId="77777777" w:rsidR="000A2139" w:rsidRDefault="000A2139" w:rsidP="00ED09F4">
      <w:pPr>
        <w:spacing w:after="0" w:line="240" w:lineRule="auto"/>
        <w:rPr>
          <w:rFonts w:ascii="Times New Roman" w:hAnsi="Times New Roman" w:cs="Times New Roman"/>
          <w:sz w:val="24"/>
          <w:szCs w:val="24"/>
        </w:rPr>
      </w:pPr>
    </w:p>
    <w:p w14:paraId="69C80E2D" w14:textId="1BE55E03" w:rsidR="000A2139" w:rsidRPr="00105408" w:rsidRDefault="000A2139" w:rsidP="00ED09F4">
      <w:pPr>
        <w:spacing w:after="0" w:line="240" w:lineRule="auto"/>
        <w:rPr>
          <w:rFonts w:ascii="Times New Roman" w:hAnsi="Times New Roman" w:cs="Times New Roman"/>
        </w:rPr>
      </w:pPr>
      <w:r w:rsidRPr="000154FB">
        <w:rPr>
          <w:rFonts w:ascii="Times New Roman" w:hAnsi="Times New Roman" w:cs="Times New Roman"/>
          <w:sz w:val="24"/>
          <w:szCs w:val="24"/>
        </w:rPr>
        <w:t xml:space="preserve">All were ignored in the </w:t>
      </w:r>
      <w:r w:rsidRPr="00545AE8">
        <w:rPr>
          <w:rFonts w:ascii="Times New Roman" w:hAnsi="Times New Roman" w:cs="Times New Roman"/>
          <w:i/>
          <w:sz w:val="24"/>
          <w:szCs w:val="24"/>
        </w:rPr>
        <w:t>Reserve</w:t>
      </w:r>
      <w:r w:rsidRPr="000154FB">
        <w:rPr>
          <w:rFonts w:ascii="Times New Roman" w:hAnsi="Times New Roman" w:cs="Times New Roman"/>
          <w:sz w:val="24"/>
          <w:szCs w:val="24"/>
        </w:rPr>
        <w:t xml:space="preserve"> </w:t>
      </w:r>
      <w:r>
        <w:rPr>
          <w:rFonts w:ascii="Times New Roman" w:hAnsi="Times New Roman" w:cs="Times New Roman"/>
          <w:sz w:val="24"/>
          <w:szCs w:val="24"/>
        </w:rPr>
        <w:t>O</w:t>
      </w:r>
      <w:r w:rsidRPr="000154FB">
        <w:rPr>
          <w:rFonts w:ascii="Times New Roman" w:hAnsi="Times New Roman" w:cs="Times New Roman"/>
          <w:sz w:val="24"/>
          <w:szCs w:val="24"/>
        </w:rPr>
        <w:t>pinion, which held in the face of the overwhelming testimony above that PoolRe was not an insurance company</w:t>
      </w:r>
      <w:r>
        <w:rPr>
          <w:rFonts w:ascii="Times New Roman" w:hAnsi="Times New Roman" w:cs="Times New Roman"/>
          <w:sz w:val="24"/>
          <w:szCs w:val="24"/>
        </w:rPr>
        <w:t xml:space="preserve">.  </w:t>
      </w:r>
      <w:r w:rsidRPr="005078F6">
        <w:rPr>
          <w:rFonts w:ascii="Times New Roman" w:hAnsi="Times New Roman" w:cs="Times New Roman"/>
          <w:sz w:val="24"/>
          <w:szCs w:val="24"/>
        </w:rPr>
        <w:t xml:space="preserve">The evidence presented at trial with respect to each factor </w:t>
      </w:r>
      <w:r>
        <w:rPr>
          <w:rFonts w:ascii="Times New Roman" w:hAnsi="Times New Roman" w:cs="Times New Roman"/>
          <w:sz w:val="24"/>
          <w:szCs w:val="24"/>
        </w:rPr>
        <w:t>considered by the Court (in determining whether PoolRe was a bona fide insurance company) i</w:t>
      </w:r>
      <w:r w:rsidRPr="005078F6">
        <w:rPr>
          <w:rFonts w:ascii="Times New Roman" w:hAnsi="Times New Roman" w:cs="Times New Roman"/>
          <w:sz w:val="24"/>
          <w:szCs w:val="24"/>
        </w:rPr>
        <w:t xml:space="preserve">s </w:t>
      </w:r>
      <w:r w:rsidRPr="00B3290E">
        <w:rPr>
          <w:rFonts w:ascii="Times New Roman" w:hAnsi="Times New Roman" w:cs="Times New Roman"/>
          <w:sz w:val="24"/>
          <w:szCs w:val="24"/>
        </w:rPr>
        <w:t>discussed later in Section V</w:t>
      </w:r>
      <w:r w:rsidR="00B3290E" w:rsidRPr="00B3290E">
        <w:rPr>
          <w:rFonts w:ascii="Times New Roman" w:hAnsi="Times New Roman" w:cs="Times New Roman"/>
          <w:sz w:val="24"/>
          <w:szCs w:val="24"/>
        </w:rPr>
        <w:t>(A)</w:t>
      </w:r>
      <w:r w:rsidRPr="00B3290E">
        <w:rPr>
          <w:rFonts w:ascii="Times New Roman" w:hAnsi="Times New Roman" w:cs="Times New Roman"/>
          <w:sz w:val="24"/>
          <w:szCs w:val="24"/>
        </w:rPr>
        <w:t xml:space="preserve"> of this</w:t>
      </w:r>
      <w:r w:rsidRPr="005078F6">
        <w:rPr>
          <w:rFonts w:ascii="Times New Roman" w:hAnsi="Times New Roman" w:cs="Times New Roman"/>
          <w:sz w:val="24"/>
          <w:szCs w:val="24"/>
        </w:rPr>
        <w:t xml:space="preserve"> commentary</w:t>
      </w:r>
      <w:r>
        <w:rPr>
          <w:rFonts w:ascii="Times New Roman" w:hAnsi="Times New Roman" w:cs="Times New Roman"/>
          <w:sz w:val="24"/>
          <w:szCs w:val="24"/>
        </w:rPr>
        <w:t xml:space="preserve">.  As that section explains, Reserve carried its burden in establishing that PoolRe is a bona fide insurance company and that it participated in a bona fide pooling </w:t>
      </w:r>
      <w:r w:rsidRPr="007E322C">
        <w:rPr>
          <w:rFonts w:ascii="Times New Roman" w:hAnsi="Times New Roman" w:cs="Times New Roman"/>
          <w:sz w:val="24"/>
          <w:szCs w:val="24"/>
        </w:rPr>
        <w:t xml:space="preserve">arrangement.  Not only did the </w:t>
      </w:r>
      <w:r w:rsidRPr="007E322C">
        <w:rPr>
          <w:rFonts w:ascii="Times New Roman" w:hAnsi="Times New Roman" w:cs="Times New Roman"/>
          <w:i/>
          <w:sz w:val="24"/>
          <w:szCs w:val="24"/>
        </w:rPr>
        <w:t>Reserve</w:t>
      </w:r>
      <w:r w:rsidRPr="007E322C">
        <w:rPr>
          <w:rFonts w:ascii="Times New Roman" w:hAnsi="Times New Roman" w:cs="Times New Roman"/>
          <w:sz w:val="24"/>
          <w:szCs w:val="24"/>
        </w:rPr>
        <w:t xml:space="preserve"> Court impose this newly minted requirement that a pool must be a “bona fide” insurer, but the Court also reached an erroneous conclusion in the face of clear</w:t>
      </w:r>
      <w:r>
        <w:rPr>
          <w:rFonts w:ascii="Times New Roman" w:hAnsi="Times New Roman" w:cs="Times New Roman"/>
          <w:sz w:val="24"/>
          <w:szCs w:val="24"/>
        </w:rPr>
        <w:t xml:space="preserve"> </w:t>
      </w:r>
      <w:r w:rsidRPr="007E322C">
        <w:rPr>
          <w:rFonts w:ascii="Times New Roman" w:hAnsi="Times New Roman" w:cs="Times New Roman"/>
          <w:sz w:val="24"/>
          <w:szCs w:val="24"/>
        </w:rPr>
        <w:t xml:space="preserve">evidence with respect to each factor that it discussed </w:t>
      </w:r>
      <w:r w:rsidRPr="00105408">
        <w:rPr>
          <w:rFonts w:ascii="Times New Roman" w:hAnsi="Times New Roman" w:cs="Times New Roman"/>
        </w:rPr>
        <w:t>in applying this newly crafted test to pooling arrangements.</w:t>
      </w:r>
    </w:p>
    <w:p w14:paraId="5298E412" w14:textId="77777777" w:rsidR="000A2139" w:rsidRPr="00105408" w:rsidRDefault="000A2139" w:rsidP="00ED09F4">
      <w:pPr>
        <w:spacing w:after="0" w:line="240" w:lineRule="auto"/>
        <w:rPr>
          <w:rFonts w:ascii="Times New Roman" w:hAnsi="Times New Roman" w:cs="Times New Roman"/>
        </w:rPr>
      </w:pPr>
    </w:p>
    <w:p w14:paraId="0E89BDD3" w14:textId="29FC9D6C" w:rsidR="000A2139" w:rsidRPr="00620F28" w:rsidRDefault="000A2139" w:rsidP="00620F28">
      <w:pPr>
        <w:pStyle w:val="Heading2"/>
        <w:spacing w:before="0" w:line="240" w:lineRule="auto"/>
        <w:rPr>
          <w:rFonts w:ascii="Times New Roman" w:hAnsi="Times New Roman" w:cs="Times New Roman"/>
          <w:b/>
          <w:color w:val="auto"/>
          <w:sz w:val="24"/>
          <w:szCs w:val="24"/>
        </w:rPr>
      </w:pPr>
      <w:bookmarkStart w:id="17" w:name="_Toc533076781"/>
      <w:bookmarkStart w:id="18" w:name="_Toc534366171"/>
      <w:r w:rsidRPr="00620F28">
        <w:rPr>
          <w:rFonts w:ascii="Times New Roman" w:hAnsi="Times New Roman" w:cs="Times New Roman"/>
          <w:b/>
          <w:color w:val="auto"/>
          <w:sz w:val="24"/>
          <w:szCs w:val="24"/>
        </w:rPr>
        <w:t>B.  The IRS Ignored its Own “Look-Through” Concept</w:t>
      </w:r>
      <w:bookmarkEnd w:id="17"/>
      <w:bookmarkEnd w:id="18"/>
    </w:p>
    <w:p w14:paraId="5544077E" w14:textId="77777777" w:rsidR="000A2139" w:rsidRPr="00105408" w:rsidRDefault="000A2139" w:rsidP="00554295">
      <w:pPr>
        <w:spacing w:after="0" w:line="240" w:lineRule="auto"/>
        <w:jc w:val="center"/>
        <w:rPr>
          <w:rFonts w:ascii="Times New Roman" w:hAnsi="Times New Roman" w:cs="Times New Roman"/>
        </w:rPr>
      </w:pPr>
    </w:p>
    <w:p w14:paraId="2DE03D53" w14:textId="77777777" w:rsidR="000A2139" w:rsidRDefault="000A2139" w:rsidP="00CA6FD3">
      <w:pPr>
        <w:spacing w:after="0" w:line="240" w:lineRule="auto"/>
        <w:rPr>
          <w:rFonts w:ascii="Times New Roman" w:hAnsi="Times New Roman" w:cs="Times New Roman"/>
          <w:sz w:val="24"/>
          <w:szCs w:val="24"/>
        </w:rPr>
      </w:pPr>
      <w:r w:rsidRPr="00105408">
        <w:rPr>
          <w:rFonts w:ascii="Times New Roman" w:hAnsi="Times New Roman" w:cs="Times New Roman"/>
        </w:rPr>
        <w:t>IRS rulings have consistently recognized a “look-through</w:t>
      </w:r>
      <w:r>
        <w:rPr>
          <w:rFonts w:ascii="Times New Roman" w:hAnsi="Times New Roman" w:cs="Times New Roman"/>
          <w:sz w:val="24"/>
          <w:szCs w:val="24"/>
        </w:rPr>
        <w:t xml:space="preserve">” concept with respect to insurance (including pooling and reinsurance) arrangements, whereby </w:t>
      </w:r>
      <w:r w:rsidRPr="002D26E0">
        <w:rPr>
          <w:rFonts w:ascii="Times New Roman" w:hAnsi="Times New Roman" w:cs="Times New Roman"/>
          <w:sz w:val="24"/>
          <w:szCs w:val="24"/>
        </w:rPr>
        <w:t xml:space="preserve">risk distribution is analyzed by “looking through” to the underlying risks </w:t>
      </w:r>
      <w:r>
        <w:rPr>
          <w:rFonts w:ascii="Times New Roman" w:hAnsi="Times New Roman" w:cs="Times New Roman"/>
          <w:sz w:val="24"/>
          <w:szCs w:val="24"/>
        </w:rPr>
        <w:t>in a pooling arrangement.</w:t>
      </w:r>
      <w:r>
        <w:rPr>
          <w:rStyle w:val="EndnoteReference"/>
          <w:rFonts w:ascii="Times New Roman" w:hAnsi="Times New Roman" w:cs="Times New Roman"/>
          <w:sz w:val="24"/>
          <w:szCs w:val="24"/>
        </w:rPr>
        <w:endnoteReference w:id="49"/>
      </w:r>
      <w:r>
        <w:rPr>
          <w:rFonts w:ascii="Times New Roman" w:hAnsi="Times New Roman" w:cs="Times New Roman"/>
          <w:sz w:val="24"/>
          <w:szCs w:val="24"/>
        </w:rPr>
        <w:t xml:space="preserve">  The concept of a</w:t>
      </w:r>
      <w:r w:rsidRPr="007846B2">
        <w:rPr>
          <w:rFonts w:ascii="Times New Roman" w:hAnsi="Times New Roman" w:cs="Times New Roman"/>
          <w:sz w:val="24"/>
          <w:szCs w:val="24"/>
        </w:rPr>
        <w:t xml:space="preserve">pplying a “bona fide insurance company” test to a pooling arrangement </w:t>
      </w:r>
      <w:r>
        <w:rPr>
          <w:rFonts w:ascii="Times New Roman" w:hAnsi="Times New Roman" w:cs="Times New Roman"/>
          <w:sz w:val="24"/>
          <w:szCs w:val="24"/>
        </w:rPr>
        <w:t xml:space="preserve">was newly announced in </w:t>
      </w:r>
      <w:r w:rsidRPr="007846B2">
        <w:rPr>
          <w:rFonts w:ascii="Times New Roman" w:hAnsi="Times New Roman" w:cs="Times New Roman"/>
          <w:i/>
          <w:sz w:val="24"/>
          <w:szCs w:val="24"/>
        </w:rPr>
        <w:t>Avrahami</w:t>
      </w:r>
      <w:r>
        <w:rPr>
          <w:rFonts w:ascii="Times New Roman" w:hAnsi="Times New Roman" w:cs="Times New Roman"/>
          <w:sz w:val="24"/>
          <w:szCs w:val="24"/>
        </w:rPr>
        <w:t xml:space="preserve"> with that court not citing a valid precedent for its position.  As previously discussed, the </w:t>
      </w:r>
      <w:r w:rsidRPr="00A076DE">
        <w:rPr>
          <w:rFonts w:ascii="Times New Roman" w:hAnsi="Times New Roman" w:cs="Times New Roman"/>
          <w:i/>
          <w:sz w:val="24"/>
          <w:szCs w:val="24"/>
        </w:rPr>
        <w:t>Avrahami</w:t>
      </w:r>
      <w:r>
        <w:rPr>
          <w:rFonts w:ascii="Times New Roman" w:hAnsi="Times New Roman" w:cs="Times New Roman"/>
          <w:sz w:val="24"/>
          <w:szCs w:val="24"/>
        </w:rPr>
        <w:t xml:space="preserve"> court erroneously cited to </w:t>
      </w:r>
      <w:r w:rsidRPr="00A076DE">
        <w:rPr>
          <w:rFonts w:ascii="Times New Roman" w:hAnsi="Times New Roman" w:cs="Times New Roman"/>
          <w:i/>
          <w:sz w:val="24"/>
          <w:szCs w:val="24"/>
        </w:rPr>
        <w:t>Rent-A-Center</w:t>
      </w:r>
      <w:r>
        <w:rPr>
          <w:rFonts w:ascii="Times New Roman" w:hAnsi="Times New Roman" w:cs="Times New Roman"/>
          <w:sz w:val="24"/>
          <w:szCs w:val="24"/>
        </w:rPr>
        <w:t xml:space="preserve"> for this proposition.  The Court failed to apply the “look-through” concept and in so doing failed to examine the origins of the pooled risks to determine if participation in a pooling arrangement achieved sufficient risk distribution.  Further, the Court erred in rejecting long-standing insurance practice providing that a pooling or risk diversification arrangement may be done contractually (whether or not by an insurer) or alternatively as an insurance arrangement.  The question in all cases is whether the underlying risks diversified were insurance risks.</w:t>
      </w:r>
    </w:p>
    <w:p w14:paraId="0E9D56BF" w14:textId="77777777" w:rsidR="000A2139" w:rsidRDefault="000A2139" w:rsidP="00CA6FD3">
      <w:pPr>
        <w:spacing w:after="0" w:line="240" w:lineRule="auto"/>
        <w:rPr>
          <w:rFonts w:ascii="Times New Roman" w:hAnsi="Times New Roman" w:cs="Times New Roman"/>
          <w:sz w:val="24"/>
          <w:szCs w:val="24"/>
        </w:rPr>
      </w:pPr>
    </w:p>
    <w:p w14:paraId="45159CB3" w14:textId="15C051C7" w:rsidR="000A2139" w:rsidRPr="00DE79BC" w:rsidRDefault="000A2139" w:rsidP="00CA6FD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Court in </w:t>
      </w:r>
      <w:r w:rsidRPr="005C46A5">
        <w:rPr>
          <w:rFonts w:ascii="Times New Roman" w:hAnsi="Times New Roman" w:cs="Times New Roman"/>
          <w:i/>
          <w:sz w:val="24"/>
          <w:szCs w:val="24"/>
        </w:rPr>
        <w:t>Reserve</w:t>
      </w:r>
      <w:r>
        <w:rPr>
          <w:rFonts w:ascii="Times New Roman" w:hAnsi="Times New Roman" w:cs="Times New Roman"/>
          <w:sz w:val="24"/>
          <w:szCs w:val="24"/>
        </w:rPr>
        <w:t xml:space="preserve"> confused whether PoolRe must be a “bona fide” insurance company with what should have been the Court’s focus, such being whether the risks diversified through the pool (being the 650+ policies insuring 200+ non-affiliated insureds) are insurance risks.  </w:t>
      </w:r>
      <w:r>
        <w:rPr>
          <w:rFonts w:ascii="Times New Roman" w:hAnsi="Times New Roman" w:cs="Times New Roman"/>
          <w:sz w:val="24"/>
          <w:szCs w:val="24"/>
        </w:rPr>
        <w:lastRenderedPageBreak/>
        <w:t xml:space="preserve">However, here again, the </w:t>
      </w:r>
      <w:r w:rsidRPr="009D48BF">
        <w:rPr>
          <w:rFonts w:ascii="Times New Roman" w:hAnsi="Times New Roman" w:cs="Times New Roman"/>
          <w:i/>
          <w:sz w:val="24"/>
          <w:szCs w:val="24"/>
        </w:rPr>
        <w:t>Reserve</w:t>
      </w:r>
      <w:r>
        <w:rPr>
          <w:rFonts w:ascii="Times New Roman" w:hAnsi="Times New Roman" w:cs="Times New Roman"/>
          <w:sz w:val="24"/>
          <w:szCs w:val="24"/>
        </w:rPr>
        <w:t xml:space="preserve"> Opinion fails in that whether PoolRe is a “bona fide insurance company” was not an issue at trial and, prior to its creation in </w:t>
      </w:r>
      <w:r w:rsidRPr="005C46A5">
        <w:rPr>
          <w:rFonts w:ascii="Times New Roman" w:hAnsi="Times New Roman" w:cs="Times New Roman"/>
          <w:i/>
          <w:sz w:val="24"/>
          <w:szCs w:val="24"/>
        </w:rPr>
        <w:t>Avrahami</w:t>
      </w:r>
      <w:r>
        <w:rPr>
          <w:rFonts w:ascii="Times New Roman" w:hAnsi="Times New Roman" w:cs="Times New Roman"/>
          <w:sz w:val="24"/>
          <w:szCs w:val="24"/>
        </w:rPr>
        <w:t xml:space="preserve">, was never a requirement for </w:t>
      </w:r>
      <w:r w:rsidRPr="00D14D8A">
        <w:rPr>
          <w:rFonts w:ascii="Times New Roman" w:hAnsi="Times New Roman" w:cs="Times New Roman"/>
          <w:sz w:val="24"/>
          <w:szCs w:val="24"/>
        </w:rPr>
        <w:t xml:space="preserve">a pooling arrangement.  The </w:t>
      </w:r>
      <w:r w:rsidRPr="00D14D8A">
        <w:rPr>
          <w:rFonts w:ascii="Times New Roman" w:hAnsi="Times New Roman" w:cs="Times New Roman"/>
          <w:i/>
          <w:sz w:val="24"/>
          <w:szCs w:val="24"/>
        </w:rPr>
        <w:t>Reserve</w:t>
      </w:r>
      <w:r w:rsidRPr="00D14D8A">
        <w:rPr>
          <w:rFonts w:ascii="Times New Roman" w:hAnsi="Times New Roman" w:cs="Times New Roman"/>
          <w:sz w:val="24"/>
          <w:szCs w:val="24"/>
        </w:rPr>
        <w:t xml:space="preserve"> Court’s imposition of a requirement that a pooling arrangement be done only through a “bona fide insurer” finds no support in law or in practice.  This fact is so clear that the government didn’t put forth this argument at trial.  Under the IRS’s longstanding look-through concept, the examination of risk assumed looks through to the ultimate source of the risk.  Thus, the question before the Court in </w:t>
      </w:r>
      <w:r w:rsidRPr="00D14D8A">
        <w:rPr>
          <w:rFonts w:ascii="Times New Roman" w:hAnsi="Times New Roman" w:cs="Times New Roman"/>
          <w:i/>
          <w:sz w:val="24"/>
          <w:szCs w:val="24"/>
        </w:rPr>
        <w:t>Reserve</w:t>
      </w:r>
      <w:r w:rsidRPr="00D14D8A">
        <w:rPr>
          <w:rFonts w:ascii="Times New Roman" w:hAnsi="Times New Roman" w:cs="Times New Roman"/>
          <w:sz w:val="24"/>
          <w:szCs w:val="24"/>
        </w:rPr>
        <w:t xml:space="preserve"> should be whether the 650+ policies insuring 200+ insureds on a quota share basis by Reserve were policies of insurance covering insurable risks.  This question</w:t>
      </w:r>
      <w:r w:rsidRPr="00DE79BC">
        <w:rPr>
          <w:rFonts w:ascii="Times New Roman" w:hAnsi="Times New Roman" w:cs="Times New Roman"/>
          <w:sz w:val="24"/>
          <w:szCs w:val="24"/>
        </w:rPr>
        <w:t xml:space="preserve"> was answered in the affirmative by Dr. Neil Doherty, who opined in his expert report that: (a) the policies in place for each captive participant (in the </w:t>
      </w:r>
      <w:r w:rsidRPr="0016686B">
        <w:rPr>
          <w:rFonts w:ascii="Times New Roman" w:hAnsi="Times New Roman" w:cs="Times New Roman"/>
          <w:sz w:val="24"/>
          <w:szCs w:val="24"/>
        </w:rPr>
        <w:t>PoolRe pooling arrangement) covered losses to policyholders with respect to risks from the occurrence of fortuitous events and (b) these types of policies were routinely offered by the insurance industry.</w:t>
      </w:r>
      <w:r w:rsidRPr="0016686B">
        <w:rPr>
          <w:rStyle w:val="EndnoteReference"/>
          <w:rFonts w:ascii="Times New Roman" w:hAnsi="Times New Roman" w:cs="Times New Roman"/>
          <w:sz w:val="24"/>
          <w:szCs w:val="24"/>
        </w:rPr>
        <w:endnoteReference w:id="50"/>
      </w:r>
      <w:r w:rsidRPr="0016686B">
        <w:rPr>
          <w:rFonts w:ascii="Times New Roman" w:hAnsi="Times New Roman" w:cs="Times New Roman"/>
          <w:sz w:val="24"/>
          <w:szCs w:val="24"/>
        </w:rPr>
        <w:t xml:space="preserve">  The government’s sole expert, Mr. Riggin, did not controvert the expert testimony of Dr. Doherty that the risk</w:t>
      </w:r>
      <w:r>
        <w:rPr>
          <w:rFonts w:ascii="Times New Roman" w:hAnsi="Times New Roman" w:cs="Times New Roman"/>
          <w:sz w:val="24"/>
          <w:szCs w:val="24"/>
        </w:rPr>
        <w:t>s</w:t>
      </w:r>
      <w:r w:rsidRPr="0016686B">
        <w:rPr>
          <w:rFonts w:ascii="Times New Roman" w:hAnsi="Times New Roman" w:cs="Times New Roman"/>
          <w:sz w:val="24"/>
          <w:szCs w:val="24"/>
        </w:rPr>
        <w:t xml:space="preserve"> diversified through PoolRe were common</w:t>
      </w:r>
      <w:r>
        <w:rPr>
          <w:rFonts w:ascii="Times New Roman" w:hAnsi="Times New Roman" w:cs="Times New Roman"/>
          <w:sz w:val="24"/>
          <w:szCs w:val="24"/>
        </w:rPr>
        <w:t>ly</w:t>
      </w:r>
      <w:r w:rsidRPr="0016686B">
        <w:rPr>
          <w:rFonts w:ascii="Times New Roman" w:hAnsi="Times New Roman" w:cs="Times New Roman"/>
          <w:sz w:val="24"/>
          <w:szCs w:val="24"/>
        </w:rPr>
        <w:t xml:space="preserve"> </w:t>
      </w:r>
      <w:r w:rsidRPr="008D17B5">
        <w:rPr>
          <w:rFonts w:ascii="Times New Roman" w:hAnsi="Times New Roman" w:cs="Times New Roman"/>
          <w:sz w:val="24"/>
          <w:szCs w:val="24"/>
        </w:rPr>
        <w:t>insurable risks.  Reserve carried its burden of proof on this issue, and no contrary evidence was offered by the government.  Yet the Court misapplied the legal standard, creating an issue where even the litigants believed there was none and in so</w:t>
      </w:r>
      <w:r w:rsidRPr="0016686B">
        <w:rPr>
          <w:rFonts w:ascii="Times New Roman" w:hAnsi="Times New Roman" w:cs="Times New Roman"/>
          <w:sz w:val="24"/>
          <w:szCs w:val="24"/>
        </w:rPr>
        <w:t xml:space="preserve"> doing </w:t>
      </w:r>
      <w:r>
        <w:rPr>
          <w:rFonts w:ascii="Times New Roman" w:hAnsi="Times New Roman" w:cs="Times New Roman"/>
          <w:sz w:val="24"/>
          <w:szCs w:val="24"/>
        </w:rPr>
        <w:t xml:space="preserve">made a </w:t>
      </w:r>
      <w:r w:rsidRPr="0016686B">
        <w:rPr>
          <w:rFonts w:ascii="Times New Roman" w:hAnsi="Times New Roman" w:cs="Times New Roman"/>
          <w:sz w:val="24"/>
          <w:szCs w:val="24"/>
        </w:rPr>
        <w:t>finding adverse to Reserve.</w:t>
      </w:r>
    </w:p>
    <w:p w14:paraId="69296B85" w14:textId="77777777" w:rsidR="000A2139" w:rsidRPr="00DE79BC" w:rsidRDefault="000A2139" w:rsidP="00CA6FD3">
      <w:pPr>
        <w:spacing w:after="0" w:line="240" w:lineRule="auto"/>
        <w:rPr>
          <w:rFonts w:ascii="Times New Roman" w:hAnsi="Times New Roman" w:cs="Times New Roman"/>
          <w:sz w:val="24"/>
          <w:szCs w:val="24"/>
        </w:rPr>
      </w:pPr>
    </w:p>
    <w:p w14:paraId="750ECE1D" w14:textId="77777777" w:rsidR="000A2139" w:rsidRDefault="000A2139" w:rsidP="00CA6FD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Given the </w:t>
      </w:r>
      <w:r w:rsidRPr="00997157">
        <w:rPr>
          <w:rFonts w:ascii="Times New Roman" w:hAnsi="Times New Roman" w:cs="Times New Roman"/>
          <w:sz w:val="24"/>
          <w:szCs w:val="24"/>
        </w:rPr>
        <w:t xml:space="preserve">look-through concept, the </w:t>
      </w:r>
      <w:r>
        <w:rPr>
          <w:rFonts w:ascii="Times New Roman" w:hAnsi="Times New Roman" w:cs="Times New Roman"/>
          <w:sz w:val="24"/>
          <w:szCs w:val="24"/>
        </w:rPr>
        <w:t xml:space="preserve">key </w:t>
      </w:r>
      <w:r w:rsidRPr="00997157">
        <w:rPr>
          <w:rFonts w:ascii="Times New Roman" w:hAnsi="Times New Roman" w:cs="Times New Roman"/>
          <w:sz w:val="24"/>
          <w:szCs w:val="24"/>
        </w:rPr>
        <w:t>question remains: “What are the nature of the underlying risks?”</w:t>
      </w:r>
      <w:r>
        <w:rPr>
          <w:rFonts w:ascii="Times New Roman" w:hAnsi="Times New Roman" w:cs="Times New Roman"/>
          <w:sz w:val="24"/>
          <w:szCs w:val="24"/>
        </w:rPr>
        <w:t xml:space="preserve">  </w:t>
      </w:r>
      <w:r w:rsidRPr="00CA6FD3">
        <w:rPr>
          <w:rFonts w:ascii="Times New Roman" w:hAnsi="Times New Roman" w:cs="Times New Roman"/>
          <w:sz w:val="24"/>
          <w:szCs w:val="24"/>
        </w:rPr>
        <w:t xml:space="preserve">The </w:t>
      </w:r>
      <w:r>
        <w:rPr>
          <w:rFonts w:ascii="Times New Roman" w:hAnsi="Times New Roman" w:cs="Times New Roman"/>
          <w:sz w:val="24"/>
          <w:szCs w:val="24"/>
        </w:rPr>
        <w:t xml:space="preserve">relevant inquiry </w:t>
      </w:r>
      <w:r w:rsidRPr="00CA6FD3">
        <w:rPr>
          <w:rFonts w:ascii="Times New Roman" w:hAnsi="Times New Roman" w:cs="Times New Roman"/>
          <w:sz w:val="24"/>
          <w:szCs w:val="24"/>
        </w:rPr>
        <w:t xml:space="preserve">is whether the contractual rights being passed along </w:t>
      </w:r>
      <w:r>
        <w:rPr>
          <w:rFonts w:ascii="Times New Roman" w:hAnsi="Times New Roman" w:cs="Times New Roman"/>
          <w:sz w:val="24"/>
          <w:szCs w:val="24"/>
        </w:rPr>
        <w:t>via a pooling arrangement are insurance for federal income tax purposes.</w:t>
      </w:r>
      <w:r>
        <w:rPr>
          <w:rStyle w:val="EndnoteReference"/>
          <w:rFonts w:ascii="Times New Roman" w:hAnsi="Times New Roman" w:cs="Times New Roman"/>
          <w:sz w:val="24"/>
          <w:szCs w:val="24"/>
        </w:rPr>
        <w:endnoteReference w:id="51"/>
      </w:r>
      <w:r>
        <w:rPr>
          <w:rFonts w:ascii="Times New Roman" w:hAnsi="Times New Roman" w:cs="Times New Roman"/>
          <w:sz w:val="24"/>
          <w:szCs w:val="24"/>
        </w:rPr>
        <w:t xml:space="preserve">  Said another way, the inquiry from the insurer assuming the pooled policies is whether participation in the pooling provides the insurer with sufficient risk distribution.</w:t>
      </w:r>
    </w:p>
    <w:p w14:paraId="540637F4" w14:textId="77777777" w:rsidR="000A2139" w:rsidRDefault="000A2139" w:rsidP="00CA6FD3">
      <w:pPr>
        <w:spacing w:after="0" w:line="240" w:lineRule="auto"/>
        <w:rPr>
          <w:rFonts w:ascii="Times New Roman" w:hAnsi="Times New Roman" w:cs="Times New Roman"/>
          <w:sz w:val="24"/>
          <w:szCs w:val="24"/>
        </w:rPr>
      </w:pPr>
    </w:p>
    <w:p w14:paraId="0D9D6A94" w14:textId="031F41DF" w:rsidR="000A2139" w:rsidRPr="008412E4" w:rsidRDefault="000A2139" w:rsidP="00CA6FD3">
      <w:pPr>
        <w:spacing w:after="0" w:line="240" w:lineRule="auto"/>
        <w:rPr>
          <w:rFonts w:ascii="Times New Roman" w:hAnsi="Times New Roman" w:cs="Times New Roman"/>
          <w:sz w:val="24"/>
          <w:szCs w:val="24"/>
        </w:rPr>
      </w:pPr>
      <w:r>
        <w:rPr>
          <w:rFonts w:ascii="Times New Roman" w:hAnsi="Times New Roman" w:cs="Times New Roman"/>
          <w:sz w:val="24"/>
          <w:szCs w:val="24"/>
        </w:rPr>
        <w:t>The evidence presented at trial established both by factual testimony</w:t>
      </w:r>
      <w:r>
        <w:rPr>
          <w:rStyle w:val="EndnoteReference"/>
          <w:rFonts w:ascii="Times New Roman" w:hAnsi="Times New Roman" w:cs="Times New Roman"/>
          <w:sz w:val="24"/>
          <w:szCs w:val="24"/>
        </w:rPr>
        <w:endnoteReference w:id="52"/>
      </w:r>
      <w:r>
        <w:rPr>
          <w:rFonts w:ascii="Times New Roman" w:hAnsi="Times New Roman" w:cs="Times New Roman"/>
          <w:sz w:val="24"/>
          <w:szCs w:val="24"/>
        </w:rPr>
        <w:t xml:space="preserve"> and as summarized in Reserve’s independently audited financial statements</w:t>
      </w:r>
      <w:r>
        <w:rPr>
          <w:rStyle w:val="EndnoteReference"/>
          <w:rFonts w:ascii="Times New Roman" w:hAnsi="Times New Roman" w:cs="Times New Roman"/>
          <w:sz w:val="24"/>
          <w:szCs w:val="24"/>
        </w:rPr>
        <w:endnoteReference w:id="53"/>
      </w:r>
      <w:r>
        <w:rPr>
          <w:rFonts w:ascii="Times New Roman" w:hAnsi="Times New Roman" w:cs="Times New Roman"/>
          <w:sz w:val="24"/>
          <w:szCs w:val="24"/>
        </w:rPr>
        <w:t xml:space="preserve"> was that PoolRe underwrote through its many stop loss agreements in 2010 (by way of example) over 650 separate policies, involving 58 different unrelated insurance companies that pooled risks with respect to policies that were issued to more than 200 non-affiliated insureds most of which were unaffiliated among themselves.</w:t>
      </w:r>
      <w:r>
        <w:rPr>
          <w:rStyle w:val="EndnoteReference"/>
          <w:rFonts w:ascii="Times New Roman" w:hAnsi="Times New Roman" w:cs="Times New Roman"/>
          <w:sz w:val="24"/>
          <w:szCs w:val="24"/>
        </w:rPr>
        <w:endnoteReference w:id="54"/>
      </w:r>
      <w:r>
        <w:rPr>
          <w:rFonts w:ascii="Times New Roman" w:hAnsi="Times New Roman" w:cs="Times New Roman"/>
          <w:sz w:val="24"/>
          <w:szCs w:val="24"/>
        </w:rPr>
        <w:t xml:space="preserve">  A similar program was conducted in 2008 and 2009.  The total direct premiums written by PoolRe (which then reinsured these risks among the 58 unaffiliated participating insurers) in 2010 (for example) was $6,638,591.</w:t>
      </w:r>
      <w:r>
        <w:rPr>
          <w:rStyle w:val="EndnoteReference"/>
          <w:rFonts w:ascii="Times New Roman" w:hAnsi="Times New Roman" w:cs="Times New Roman"/>
          <w:sz w:val="24"/>
          <w:szCs w:val="24"/>
        </w:rPr>
        <w:endnoteReference w:id="55"/>
      </w:r>
      <w:r>
        <w:rPr>
          <w:rFonts w:ascii="Times New Roman" w:hAnsi="Times New Roman" w:cs="Times New Roman"/>
          <w:sz w:val="24"/>
          <w:szCs w:val="24"/>
        </w:rPr>
        <w:t xml:space="preserve">  Additionally, PoolRe assumed (and was ceded) $7,252,696 in premiums relating to risks from a publicly held commercial carrier, Lyndon Property Insurance Co.,</w:t>
      </w:r>
      <w:r>
        <w:rPr>
          <w:rStyle w:val="EndnoteReference"/>
          <w:rFonts w:ascii="Times New Roman" w:hAnsi="Times New Roman" w:cs="Times New Roman"/>
          <w:sz w:val="24"/>
          <w:szCs w:val="24"/>
        </w:rPr>
        <w:endnoteReference w:id="56"/>
      </w:r>
      <w:r>
        <w:rPr>
          <w:rFonts w:ascii="Times New Roman" w:hAnsi="Times New Roman" w:cs="Times New Roman"/>
          <w:sz w:val="24"/>
          <w:szCs w:val="24"/>
        </w:rPr>
        <w:t xml:space="preserve"> which PoolRe in turn ceded in large part to the 58 participating captives.  No contrary evidence was offered by the government or the subject of objections by the government’s sole expert, Riggin.  Without (i) PoolRe being before the Court, and (ii) without the </w:t>
      </w:r>
      <w:r w:rsidRPr="00FF6479">
        <w:rPr>
          <w:rFonts w:ascii="Times New Roman" w:hAnsi="Times New Roman" w:cs="Times New Roman"/>
          <w:sz w:val="24"/>
          <w:szCs w:val="24"/>
        </w:rPr>
        <w:t>IRS presenting any evidence as to whether PoolRe was a bona fide insurance company, and despite its being licensed and supervised by a UK territory dating back to its formation in 2001, all with the uncontroverted testimony being that the UK Territory of Anguilla’s insurance regulatory laws being typical of a</w:t>
      </w:r>
      <w:r>
        <w:rPr>
          <w:rFonts w:ascii="Times New Roman" w:hAnsi="Times New Roman" w:cs="Times New Roman"/>
          <w:sz w:val="24"/>
          <w:szCs w:val="24"/>
        </w:rPr>
        <w:t xml:space="preserve"> proper captive domicile,</w:t>
      </w:r>
      <w:r>
        <w:rPr>
          <w:rStyle w:val="EndnoteReference"/>
          <w:rFonts w:ascii="Times New Roman" w:hAnsi="Times New Roman" w:cs="Times New Roman"/>
          <w:sz w:val="24"/>
          <w:szCs w:val="24"/>
        </w:rPr>
        <w:endnoteReference w:id="57"/>
      </w:r>
      <w:r>
        <w:rPr>
          <w:rFonts w:ascii="Times New Roman" w:hAnsi="Times New Roman" w:cs="Times New Roman"/>
          <w:sz w:val="24"/>
          <w:szCs w:val="24"/>
        </w:rPr>
        <w:t xml:space="preserve"> the Court </w:t>
      </w:r>
      <w:r w:rsidRPr="00CE5046">
        <w:rPr>
          <w:rFonts w:ascii="Times New Roman" w:hAnsi="Times New Roman" w:cs="Times New Roman"/>
          <w:i/>
          <w:sz w:val="24"/>
          <w:szCs w:val="24"/>
        </w:rPr>
        <w:t>sua sponte</w:t>
      </w:r>
      <w:r>
        <w:rPr>
          <w:rFonts w:ascii="Times New Roman" w:hAnsi="Times New Roman" w:cs="Times New Roman"/>
          <w:sz w:val="24"/>
          <w:szCs w:val="24"/>
        </w:rPr>
        <w:t xml:space="preserve"> raised the “bona fide insurance company” </w:t>
      </w:r>
      <w:r w:rsidRPr="00FF4CC8">
        <w:rPr>
          <w:rFonts w:ascii="Times New Roman" w:hAnsi="Times New Roman" w:cs="Times New Roman"/>
          <w:sz w:val="24"/>
          <w:szCs w:val="24"/>
        </w:rPr>
        <w:t xml:space="preserve">issue and then erroneously concluded that non-party PoolRe was not a bona fide insurance company, which the Court had erroneously concluded was a requirement.  The Court concluded that Reserve hadn’t carried its burden on what was a non-issue.  Not only was this mixed question of fact and law against the great weight </w:t>
      </w:r>
      <w:r w:rsidRPr="00FF4CC8">
        <w:rPr>
          <w:rFonts w:ascii="Times New Roman" w:hAnsi="Times New Roman" w:cs="Times New Roman"/>
          <w:sz w:val="24"/>
          <w:szCs w:val="24"/>
        </w:rPr>
        <w:lastRenderedPageBreak/>
        <w:t xml:space="preserve">of the evidence, but the Court’s holding was clearly erroneous factually and legally on this uncontested issue even absent an appropriate </w:t>
      </w:r>
      <w:r w:rsidRPr="00FF4CC8">
        <w:rPr>
          <w:rFonts w:ascii="Times New Roman" w:hAnsi="Times New Roman" w:cs="Times New Roman"/>
          <w:i/>
          <w:sz w:val="24"/>
          <w:szCs w:val="24"/>
        </w:rPr>
        <w:t>de novo</w:t>
      </w:r>
      <w:r w:rsidRPr="00FF4CC8">
        <w:rPr>
          <w:rFonts w:ascii="Times New Roman" w:hAnsi="Times New Roman" w:cs="Times New Roman"/>
          <w:sz w:val="24"/>
          <w:szCs w:val="24"/>
        </w:rPr>
        <w:t xml:space="preserve"> review.</w:t>
      </w:r>
    </w:p>
    <w:p w14:paraId="6B0E688F" w14:textId="77777777" w:rsidR="000A2139" w:rsidRPr="008412E4" w:rsidRDefault="000A2139" w:rsidP="00CA6FD3">
      <w:pPr>
        <w:spacing w:after="0" w:line="240" w:lineRule="auto"/>
        <w:rPr>
          <w:rFonts w:ascii="Times New Roman" w:hAnsi="Times New Roman" w:cs="Times New Roman"/>
          <w:sz w:val="24"/>
          <w:szCs w:val="24"/>
        </w:rPr>
      </w:pPr>
    </w:p>
    <w:p w14:paraId="22CE2A04" w14:textId="42F1BEF3" w:rsidR="000A2139" w:rsidRPr="00CD0635" w:rsidRDefault="000A2139" w:rsidP="00B12DD6">
      <w:pPr>
        <w:spacing w:after="0" w:line="240" w:lineRule="auto"/>
        <w:rPr>
          <w:rFonts w:ascii="Times New Roman" w:hAnsi="Times New Roman" w:cs="Times New Roman"/>
          <w:sz w:val="24"/>
          <w:szCs w:val="24"/>
        </w:rPr>
      </w:pPr>
      <w:r w:rsidRPr="008412E4">
        <w:rPr>
          <w:rFonts w:ascii="Times New Roman" w:hAnsi="Times New Roman" w:cs="Times New Roman"/>
          <w:sz w:val="24"/>
          <w:szCs w:val="24"/>
        </w:rPr>
        <w:t xml:space="preserve">The testimony by Dr. Doherty that PoolRe achieved </w:t>
      </w:r>
      <w:r>
        <w:rPr>
          <w:rFonts w:ascii="Times New Roman" w:hAnsi="Times New Roman" w:cs="Times New Roman"/>
          <w:sz w:val="24"/>
          <w:szCs w:val="24"/>
        </w:rPr>
        <w:t xml:space="preserve">a level of </w:t>
      </w:r>
      <w:r w:rsidRPr="008412E4">
        <w:rPr>
          <w:rFonts w:ascii="Times New Roman" w:hAnsi="Times New Roman" w:cs="Times New Roman"/>
          <w:sz w:val="24"/>
          <w:szCs w:val="24"/>
        </w:rPr>
        <w:t xml:space="preserve">risk diversification that “sailed” past the threshold that had been established </w:t>
      </w:r>
      <w:r>
        <w:rPr>
          <w:rFonts w:ascii="Times New Roman" w:hAnsi="Times New Roman" w:cs="Times New Roman"/>
          <w:sz w:val="24"/>
          <w:szCs w:val="24"/>
        </w:rPr>
        <w:t xml:space="preserve">almost twenty years ago </w:t>
      </w:r>
      <w:r w:rsidRPr="008412E4">
        <w:rPr>
          <w:rFonts w:ascii="Times New Roman" w:hAnsi="Times New Roman" w:cs="Times New Roman"/>
          <w:sz w:val="24"/>
          <w:szCs w:val="24"/>
        </w:rPr>
        <w:t xml:space="preserve">in </w:t>
      </w:r>
      <w:r w:rsidRPr="008412E4">
        <w:rPr>
          <w:rFonts w:ascii="Times New Roman" w:hAnsi="Times New Roman" w:cs="Times New Roman"/>
          <w:i/>
          <w:sz w:val="24"/>
          <w:szCs w:val="24"/>
        </w:rPr>
        <w:t>Harper</w:t>
      </w:r>
      <w:r>
        <w:rPr>
          <w:rStyle w:val="EndnoteReference"/>
          <w:rFonts w:ascii="Times New Roman" w:hAnsi="Times New Roman" w:cs="Times New Roman"/>
          <w:sz w:val="24"/>
          <w:szCs w:val="24"/>
        </w:rPr>
        <w:endnoteReference w:id="58"/>
      </w:r>
      <w:r>
        <w:rPr>
          <w:rFonts w:ascii="Times New Roman" w:hAnsi="Times New Roman" w:cs="Times New Roman"/>
          <w:i/>
          <w:sz w:val="24"/>
          <w:szCs w:val="24"/>
        </w:rPr>
        <w:t xml:space="preserve"> </w:t>
      </w:r>
      <w:r w:rsidRPr="008412E4">
        <w:rPr>
          <w:rFonts w:ascii="Times New Roman" w:hAnsi="Times New Roman" w:cs="Times New Roman"/>
          <w:sz w:val="24"/>
          <w:szCs w:val="24"/>
        </w:rPr>
        <w:t>was n</w:t>
      </w:r>
      <w:r>
        <w:rPr>
          <w:rFonts w:ascii="Times New Roman" w:hAnsi="Times New Roman" w:cs="Times New Roman"/>
          <w:sz w:val="24"/>
          <w:szCs w:val="24"/>
        </w:rPr>
        <w:t xml:space="preserve">ot the subject of any contrary evidence offered </w:t>
      </w:r>
      <w:r w:rsidRPr="008412E4">
        <w:rPr>
          <w:rFonts w:ascii="Times New Roman" w:hAnsi="Times New Roman" w:cs="Times New Roman"/>
          <w:sz w:val="24"/>
          <w:szCs w:val="24"/>
        </w:rPr>
        <w:t xml:space="preserve">by the government at trial.  </w:t>
      </w:r>
      <w:r>
        <w:rPr>
          <w:rFonts w:ascii="Times New Roman" w:hAnsi="Times New Roman" w:cs="Times New Roman"/>
          <w:sz w:val="24"/>
          <w:szCs w:val="24"/>
        </w:rPr>
        <w:t>E</w:t>
      </w:r>
      <w:r w:rsidRPr="008412E4">
        <w:rPr>
          <w:rFonts w:ascii="Times New Roman" w:hAnsi="Times New Roman" w:cs="Times New Roman"/>
          <w:sz w:val="24"/>
          <w:szCs w:val="24"/>
        </w:rPr>
        <w:t>ven the Court</w:t>
      </w:r>
      <w:r>
        <w:rPr>
          <w:rFonts w:ascii="Times New Roman" w:hAnsi="Times New Roman" w:cs="Times New Roman"/>
          <w:sz w:val="24"/>
          <w:szCs w:val="24"/>
        </w:rPr>
        <w:t xml:space="preserve"> concluded, albeit reluctantly, that </w:t>
      </w:r>
      <w:r w:rsidRPr="00B12DD6">
        <w:rPr>
          <w:rFonts w:ascii="Times New Roman" w:hAnsi="Times New Roman" w:cs="Times New Roman"/>
          <w:sz w:val="24"/>
          <w:szCs w:val="24"/>
        </w:rPr>
        <w:t>Reserve</w:t>
      </w:r>
      <w:r>
        <w:rPr>
          <w:rFonts w:ascii="Times New Roman" w:hAnsi="Times New Roman" w:cs="Times New Roman"/>
          <w:sz w:val="24"/>
          <w:szCs w:val="24"/>
        </w:rPr>
        <w:t>’</w:t>
      </w:r>
      <w:r w:rsidRPr="00B12DD6">
        <w:rPr>
          <w:rFonts w:ascii="Times New Roman" w:hAnsi="Times New Roman" w:cs="Times New Roman"/>
          <w:sz w:val="24"/>
          <w:szCs w:val="24"/>
        </w:rPr>
        <w:t>s</w:t>
      </w:r>
      <w:r>
        <w:rPr>
          <w:rFonts w:ascii="Times New Roman" w:hAnsi="Times New Roman" w:cs="Times New Roman"/>
          <w:sz w:val="24"/>
          <w:szCs w:val="24"/>
        </w:rPr>
        <w:t xml:space="preserve"> </w:t>
      </w:r>
      <w:r w:rsidRPr="00B12DD6">
        <w:rPr>
          <w:rFonts w:ascii="Times New Roman" w:hAnsi="Times New Roman" w:cs="Times New Roman"/>
          <w:sz w:val="24"/>
          <w:szCs w:val="24"/>
        </w:rPr>
        <w:t xml:space="preserve">premiums </w:t>
      </w:r>
      <w:r>
        <w:rPr>
          <w:rFonts w:ascii="Times New Roman" w:hAnsi="Times New Roman" w:cs="Times New Roman"/>
          <w:sz w:val="24"/>
          <w:szCs w:val="24"/>
        </w:rPr>
        <w:t xml:space="preserve">were </w:t>
      </w:r>
      <w:bookmarkStart w:id="19" w:name="_Hlk531344110"/>
      <w:r>
        <w:rPr>
          <w:rFonts w:ascii="Times New Roman" w:hAnsi="Times New Roman" w:cs="Times New Roman"/>
          <w:sz w:val="24"/>
          <w:szCs w:val="24"/>
        </w:rPr>
        <w:t xml:space="preserve">calculated </w:t>
      </w:r>
      <w:r w:rsidRPr="00B12DD6">
        <w:rPr>
          <w:rFonts w:ascii="Times New Roman" w:hAnsi="Times New Roman" w:cs="Times New Roman"/>
          <w:sz w:val="24"/>
          <w:szCs w:val="24"/>
        </w:rPr>
        <w:t>using objective criteria and</w:t>
      </w:r>
      <w:r>
        <w:rPr>
          <w:rFonts w:ascii="Times New Roman" w:hAnsi="Times New Roman" w:cs="Times New Roman"/>
          <w:sz w:val="24"/>
          <w:szCs w:val="24"/>
        </w:rPr>
        <w:t xml:space="preserve"> </w:t>
      </w:r>
      <w:r w:rsidRPr="00B12DD6">
        <w:rPr>
          <w:rFonts w:ascii="Times New Roman" w:hAnsi="Times New Roman" w:cs="Times New Roman"/>
          <w:sz w:val="24"/>
          <w:szCs w:val="24"/>
        </w:rPr>
        <w:t>actuarial methods</w:t>
      </w:r>
      <w:bookmarkEnd w:id="19"/>
      <w:r>
        <w:rPr>
          <w:rFonts w:ascii="Times New Roman" w:hAnsi="Times New Roman" w:cs="Times New Roman"/>
          <w:sz w:val="24"/>
          <w:szCs w:val="24"/>
        </w:rPr>
        <w:t>.</w:t>
      </w:r>
      <w:r>
        <w:rPr>
          <w:rStyle w:val="EndnoteReference"/>
          <w:rFonts w:ascii="Times New Roman" w:hAnsi="Times New Roman" w:cs="Times New Roman"/>
          <w:sz w:val="24"/>
          <w:szCs w:val="24"/>
        </w:rPr>
        <w:endnoteReference w:id="59"/>
      </w:r>
      <w:r>
        <w:rPr>
          <w:rFonts w:ascii="Times New Roman" w:hAnsi="Times New Roman" w:cs="Times New Roman"/>
          <w:sz w:val="24"/>
          <w:szCs w:val="24"/>
        </w:rPr>
        <w:t xml:space="preserve">  It is not possible to reconcile this conclusion with the Court’s holding that PoolRe’s risks were not insurance risks.  It should be easy to recognize as a matter of law a properly priced pollution liability policy is by definition an insurance policy and that for a deep mining equipment </w:t>
      </w:r>
      <w:r w:rsidRPr="00CD0635">
        <w:rPr>
          <w:rFonts w:ascii="Times New Roman" w:hAnsi="Times New Roman" w:cs="Times New Roman"/>
          <w:sz w:val="24"/>
          <w:szCs w:val="24"/>
        </w:rPr>
        <w:t>company operating its manufacturing facility in a Superfund site, the business purpose for such coverage is obvious.</w:t>
      </w:r>
    </w:p>
    <w:p w14:paraId="5A2E9CDD" w14:textId="77777777" w:rsidR="000A2139" w:rsidRPr="00CD0635" w:rsidRDefault="000A2139" w:rsidP="00CA6FD3">
      <w:pPr>
        <w:spacing w:after="0" w:line="240" w:lineRule="auto"/>
        <w:rPr>
          <w:rFonts w:ascii="Times New Roman" w:hAnsi="Times New Roman" w:cs="Times New Roman"/>
          <w:sz w:val="24"/>
          <w:szCs w:val="24"/>
        </w:rPr>
      </w:pPr>
    </w:p>
    <w:p w14:paraId="4944BA14" w14:textId="77777777" w:rsidR="000A2139" w:rsidRDefault="000A2139" w:rsidP="00CA6FD3">
      <w:pPr>
        <w:spacing w:after="0" w:line="240" w:lineRule="auto"/>
        <w:rPr>
          <w:rFonts w:ascii="Times New Roman" w:hAnsi="Times New Roman" w:cs="Times New Roman"/>
          <w:sz w:val="24"/>
          <w:szCs w:val="24"/>
        </w:rPr>
      </w:pPr>
      <w:r w:rsidRPr="00CD0635">
        <w:rPr>
          <w:rFonts w:ascii="Times New Roman" w:hAnsi="Times New Roman" w:cs="Times New Roman"/>
          <w:sz w:val="24"/>
          <w:szCs w:val="24"/>
        </w:rPr>
        <w:t>At the same time, as discussed below, numerous witnesses affirmatively proved up that PoolRe was an insurer despite this not being a contested issue at trial.</w:t>
      </w:r>
    </w:p>
    <w:p w14:paraId="6CA36B67" w14:textId="77777777" w:rsidR="000A2139" w:rsidRDefault="000A2139" w:rsidP="00CA6FD3">
      <w:pPr>
        <w:spacing w:after="0" w:line="240" w:lineRule="auto"/>
        <w:rPr>
          <w:rFonts w:ascii="Times New Roman" w:hAnsi="Times New Roman" w:cs="Times New Roman"/>
          <w:sz w:val="24"/>
          <w:szCs w:val="24"/>
        </w:rPr>
      </w:pPr>
    </w:p>
    <w:p w14:paraId="545C3BF6" w14:textId="493C2DC2" w:rsidR="000A2139" w:rsidRDefault="000A2139" w:rsidP="00CA6FD3">
      <w:pPr>
        <w:spacing w:after="0" w:line="240" w:lineRule="auto"/>
        <w:rPr>
          <w:rFonts w:ascii="Times New Roman" w:hAnsi="Times New Roman" w:cs="Times New Roman"/>
          <w:sz w:val="24"/>
          <w:szCs w:val="24"/>
        </w:rPr>
      </w:pPr>
      <w:r>
        <w:rPr>
          <w:rFonts w:ascii="Times New Roman" w:hAnsi="Times New Roman" w:cs="Times New Roman"/>
          <w:sz w:val="24"/>
          <w:szCs w:val="24"/>
        </w:rPr>
        <w:t>Despite the unchallenged evidence by Dr. Doherty regarding the risk diversification afforded through a combination of the pool, the direct written policies and the third-party coverage through Lyndon, the Court erred in not concluding that the premiums were for insurance.  The Court’s reasons for such a conclusion were based on vague and ill-developed assertions ignoring the testimony as to how the policies of each insured were developed and priced.  The Court asserted that a “one-size-fits-all” rate existed in terms of policy pricing,</w:t>
      </w:r>
      <w:r>
        <w:rPr>
          <w:rStyle w:val="EndnoteReference"/>
          <w:rFonts w:ascii="Times New Roman" w:hAnsi="Times New Roman" w:cs="Times New Roman"/>
          <w:sz w:val="24"/>
          <w:szCs w:val="24"/>
        </w:rPr>
        <w:endnoteReference w:id="60"/>
      </w:r>
      <w:r>
        <w:rPr>
          <w:rFonts w:ascii="Times New Roman" w:hAnsi="Times New Roman" w:cs="Times New Roman"/>
          <w:sz w:val="24"/>
          <w:szCs w:val="24"/>
        </w:rPr>
        <w:t xml:space="preserve"> but this is not supported by the evidence of the four actuaries or from the underwriter, Lance McNeel, CPCU.  In reaching this conclusion, the Court inherently contradicted itself </w:t>
      </w:r>
      <w:r w:rsidRPr="006A1F39">
        <w:rPr>
          <w:rFonts w:ascii="Times New Roman" w:hAnsi="Times New Roman" w:cs="Times New Roman"/>
          <w:sz w:val="24"/>
          <w:szCs w:val="24"/>
        </w:rPr>
        <w:t>given it also held that the premiums charged for Reserve’s direct written policies were priced “using objective criteria and what appear to be actuarial methods.”  Both situations cannot be present.  The</w:t>
      </w:r>
      <w:r w:rsidRPr="00154DE3">
        <w:rPr>
          <w:rFonts w:ascii="Times New Roman" w:hAnsi="Times New Roman" w:cs="Times New Roman"/>
          <w:sz w:val="24"/>
          <w:szCs w:val="24"/>
        </w:rPr>
        <w:t xml:space="preserve"> testimony of Reserve’s insurance underwriter</w:t>
      </w:r>
      <w:r>
        <w:rPr>
          <w:rFonts w:ascii="Times New Roman" w:hAnsi="Times New Roman" w:cs="Times New Roman"/>
          <w:sz w:val="24"/>
          <w:szCs w:val="24"/>
        </w:rPr>
        <w:t xml:space="preserve"> (</w:t>
      </w:r>
      <w:r w:rsidRPr="00154DE3">
        <w:rPr>
          <w:rFonts w:ascii="Times New Roman" w:hAnsi="Times New Roman" w:cs="Times New Roman"/>
          <w:sz w:val="24"/>
          <w:szCs w:val="24"/>
        </w:rPr>
        <w:t>McNeel</w:t>
      </w:r>
      <w:r>
        <w:rPr>
          <w:rFonts w:ascii="Times New Roman" w:hAnsi="Times New Roman" w:cs="Times New Roman"/>
          <w:sz w:val="24"/>
          <w:szCs w:val="24"/>
        </w:rPr>
        <w:t>)</w:t>
      </w:r>
      <w:r w:rsidRPr="00154DE3">
        <w:rPr>
          <w:rFonts w:ascii="Times New Roman" w:hAnsi="Times New Roman" w:cs="Times New Roman"/>
          <w:sz w:val="24"/>
          <w:szCs w:val="24"/>
        </w:rPr>
        <w:t xml:space="preserve"> was that </w:t>
      </w:r>
      <w:r>
        <w:rPr>
          <w:rFonts w:ascii="Times New Roman" w:hAnsi="Times New Roman" w:cs="Times New Roman"/>
          <w:sz w:val="24"/>
          <w:szCs w:val="24"/>
        </w:rPr>
        <w:t xml:space="preserve">the </w:t>
      </w:r>
      <w:r w:rsidRPr="00154DE3">
        <w:rPr>
          <w:rFonts w:ascii="Times New Roman" w:hAnsi="Times New Roman" w:cs="Times New Roman"/>
          <w:sz w:val="24"/>
          <w:szCs w:val="24"/>
        </w:rPr>
        <w:t>policy</w:t>
      </w:r>
      <w:r>
        <w:rPr>
          <w:rFonts w:ascii="Times New Roman" w:hAnsi="Times New Roman" w:cs="Times New Roman"/>
          <w:sz w:val="24"/>
          <w:szCs w:val="24"/>
        </w:rPr>
        <w:t xml:space="preserve"> </w:t>
      </w:r>
      <w:r w:rsidRPr="00154DE3">
        <w:rPr>
          <w:rFonts w:ascii="Times New Roman" w:hAnsi="Times New Roman" w:cs="Times New Roman"/>
          <w:sz w:val="24"/>
          <w:szCs w:val="24"/>
        </w:rPr>
        <w:t>pricing</w:t>
      </w:r>
      <w:r>
        <w:rPr>
          <w:rFonts w:ascii="Times New Roman" w:hAnsi="Times New Roman" w:cs="Times New Roman"/>
          <w:sz w:val="24"/>
          <w:szCs w:val="24"/>
        </w:rPr>
        <w:t xml:space="preserve"> for each of Reserve’s direct written policies</w:t>
      </w:r>
      <w:r w:rsidRPr="00154DE3">
        <w:rPr>
          <w:rFonts w:ascii="Times New Roman" w:hAnsi="Times New Roman" w:cs="Times New Roman"/>
          <w:sz w:val="24"/>
          <w:szCs w:val="24"/>
        </w:rPr>
        <w:t xml:space="preserve"> was developed uniquely based on its own facts</w:t>
      </w:r>
      <w:r>
        <w:rPr>
          <w:rFonts w:ascii="Times New Roman" w:hAnsi="Times New Roman" w:cs="Times New Roman"/>
          <w:sz w:val="24"/>
          <w:szCs w:val="24"/>
        </w:rPr>
        <w:t>,</w:t>
      </w:r>
      <w:r>
        <w:rPr>
          <w:rStyle w:val="EndnoteReference"/>
          <w:rFonts w:ascii="Times New Roman" w:hAnsi="Times New Roman" w:cs="Times New Roman"/>
          <w:sz w:val="24"/>
          <w:szCs w:val="24"/>
        </w:rPr>
        <w:endnoteReference w:id="61"/>
      </w:r>
      <w:r>
        <w:rPr>
          <w:rFonts w:ascii="Times New Roman" w:hAnsi="Times New Roman" w:cs="Times New Roman"/>
          <w:sz w:val="24"/>
          <w:szCs w:val="24"/>
        </w:rPr>
        <w:t xml:space="preserve"> and no contrary evidence was offered by the government</w:t>
      </w:r>
      <w:r w:rsidR="00AF2B38">
        <w:rPr>
          <w:rFonts w:ascii="Times New Roman" w:hAnsi="Times New Roman" w:cs="Times New Roman"/>
          <w:sz w:val="24"/>
          <w:szCs w:val="24"/>
        </w:rPr>
        <w:t>.</w:t>
      </w:r>
      <w:r>
        <w:rPr>
          <w:rFonts w:ascii="Times New Roman" w:hAnsi="Times New Roman" w:cs="Times New Roman"/>
          <w:sz w:val="24"/>
          <w:szCs w:val="24"/>
        </w:rPr>
        <w:t xml:space="preserve">  McNeel further testified that each unaffiliated captive’s policy pricing</w:t>
      </w:r>
      <w:r w:rsidRPr="00154DE3">
        <w:rPr>
          <w:rFonts w:ascii="Times New Roman" w:hAnsi="Times New Roman" w:cs="Times New Roman"/>
          <w:sz w:val="24"/>
          <w:szCs w:val="24"/>
        </w:rPr>
        <w:t xml:space="preserve"> was </w:t>
      </w:r>
      <w:r>
        <w:rPr>
          <w:rFonts w:ascii="Times New Roman" w:hAnsi="Times New Roman" w:cs="Times New Roman"/>
          <w:sz w:val="24"/>
          <w:szCs w:val="24"/>
        </w:rPr>
        <w:t>implemented</w:t>
      </w:r>
      <w:r w:rsidRPr="00154DE3">
        <w:rPr>
          <w:rFonts w:ascii="Times New Roman" w:hAnsi="Times New Roman" w:cs="Times New Roman"/>
          <w:sz w:val="24"/>
          <w:szCs w:val="24"/>
        </w:rPr>
        <w:t xml:space="preserve"> </w:t>
      </w:r>
      <w:r>
        <w:rPr>
          <w:rFonts w:ascii="Times New Roman" w:hAnsi="Times New Roman" w:cs="Times New Roman"/>
          <w:sz w:val="24"/>
          <w:szCs w:val="24"/>
        </w:rPr>
        <w:t xml:space="preserve">taking into account multiple individual factors by using the same risk-adjusted pricing methodology </w:t>
      </w:r>
      <w:r w:rsidRPr="00A53D0F">
        <w:rPr>
          <w:rFonts w:ascii="Times New Roman" w:hAnsi="Times New Roman" w:cs="Times New Roman"/>
          <w:b/>
          <w:i/>
          <w:sz w:val="24"/>
          <w:szCs w:val="24"/>
        </w:rPr>
        <w:t>prior to the blending of each captive’s risks and premiums taking place pursuant to PoolRe’s quota share arrangement</w:t>
      </w:r>
      <w:r w:rsidRPr="00154DE3">
        <w:rPr>
          <w:rFonts w:ascii="Times New Roman" w:hAnsi="Times New Roman" w:cs="Times New Roman"/>
          <w:sz w:val="24"/>
          <w:szCs w:val="24"/>
        </w:rPr>
        <w:t>.</w:t>
      </w:r>
      <w:r w:rsidRPr="00154DE3">
        <w:rPr>
          <w:rStyle w:val="EndnoteReference"/>
          <w:rFonts w:ascii="Times New Roman" w:hAnsi="Times New Roman" w:cs="Times New Roman"/>
          <w:sz w:val="24"/>
          <w:szCs w:val="24"/>
        </w:rPr>
        <w:endnoteReference w:id="62"/>
      </w:r>
    </w:p>
    <w:p w14:paraId="71753BC8" w14:textId="77777777" w:rsidR="000A2139" w:rsidRDefault="000A2139" w:rsidP="00CA6FD3">
      <w:pPr>
        <w:spacing w:after="0" w:line="240" w:lineRule="auto"/>
        <w:rPr>
          <w:rFonts w:ascii="Times New Roman" w:hAnsi="Times New Roman" w:cs="Times New Roman"/>
          <w:sz w:val="24"/>
          <w:szCs w:val="24"/>
        </w:rPr>
      </w:pPr>
    </w:p>
    <w:p w14:paraId="39836BAE" w14:textId="245CCC97" w:rsidR="000A2139" w:rsidRDefault="000A2139" w:rsidP="00CA6FD3">
      <w:pPr>
        <w:spacing w:after="0" w:line="240" w:lineRule="auto"/>
        <w:rPr>
          <w:rFonts w:ascii="Times New Roman" w:hAnsi="Times New Roman" w:cs="Times New Roman"/>
          <w:sz w:val="24"/>
          <w:szCs w:val="24"/>
        </w:rPr>
      </w:pPr>
      <w:r w:rsidRPr="00B615CA">
        <w:rPr>
          <w:rFonts w:ascii="Times New Roman" w:hAnsi="Times New Roman" w:cs="Times New Roman"/>
          <w:sz w:val="24"/>
          <w:szCs w:val="24"/>
        </w:rPr>
        <w:t>Section V(A) of this</w:t>
      </w:r>
      <w:r>
        <w:rPr>
          <w:rFonts w:ascii="Times New Roman" w:hAnsi="Times New Roman" w:cs="Times New Roman"/>
          <w:sz w:val="24"/>
          <w:szCs w:val="24"/>
        </w:rPr>
        <w:t xml:space="preserve"> commentary summarizes the evidence presented at trial with respect to each factor that the Court addressed in finding that PoolRe was not a bona fide insurance company.</w:t>
      </w:r>
    </w:p>
    <w:p w14:paraId="01C6CE27" w14:textId="77777777" w:rsidR="000A2139" w:rsidRDefault="000A2139" w:rsidP="00CA6FD3">
      <w:pPr>
        <w:spacing w:after="0" w:line="240" w:lineRule="auto"/>
        <w:rPr>
          <w:rFonts w:ascii="Times New Roman" w:hAnsi="Times New Roman" w:cs="Times New Roman"/>
          <w:sz w:val="24"/>
          <w:szCs w:val="24"/>
        </w:rPr>
      </w:pPr>
    </w:p>
    <w:p w14:paraId="42DF5CC6" w14:textId="77777777" w:rsidR="000A2139" w:rsidRDefault="000A2139" w:rsidP="00CA6FD3">
      <w:pPr>
        <w:spacing w:after="0" w:line="240" w:lineRule="auto"/>
        <w:rPr>
          <w:rFonts w:ascii="Times New Roman" w:hAnsi="Times New Roman" w:cs="Times New Roman"/>
          <w:sz w:val="24"/>
          <w:szCs w:val="24"/>
        </w:rPr>
      </w:pPr>
      <w:r>
        <w:rPr>
          <w:rFonts w:ascii="Times New Roman" w:hAnsi="Times New Roman" w:cs="Times New Roman"/>
          <w:sz w:val="24"/>
          <w:szCs w:val="24"/>
        </w:rPr>
        <w:t>The fact that the blended risks of non-party PoolRe were ceded to 58</w:t>
      </w:r>
      <w:r w:rsidRPr="00CA6FD3">
        <w:rPr>
          <w:rFonts w:ascii="Times New Roman" w:hAnsi="Times New Roman" w:cs="Times New Roman"/>
          <w:sz w:val="24"/>
          <w:szCs w:val="24"/>
        </w:rPr>
        <w:t xml:space="preserve"> </w:t>
      </w:r>
      <w:r>
        <w:rPr>
          <w:rFonts w:ascii="Times New Roman" w:hAnsi="Times New Roman" w:cs="Times New Roman"/>
          <w:sz w:val="24"/>
          <w:szCs w:val="24"/>
        </w:rPr>
        <w:t xml:space="preserve">participating captive </w:t>
      </w:r>
      <w:r w:rsidRPr="00CA6FD3">
        <w:rPr>
          <w:rFonts w:ascii="Times New Roman" w:hAnsi="Times New Roman" w:cs="Times New Roman"/>
          <w:sz w:val="24"/>
          <w:szCs w:val="24"/>
        </w:rPr>
        <w:t>insurers</w:t>
      </w:r>
      <w:r>
        <w:rPr>
          <w:rFonts w:ascii="Times New Roman" w:hAnsi="Times New Roman" w:cs="Times New Roman"/>
          <w:sz w:val="24"/>
          <w:szCs w:val="24"/>
        </w:rPr>
        <w:t xml:space="preserve"> unaffiliated with PoolRe was brushed aside by the Court and never analyzed perhaps because PoolRe was not a party to the underlying litigation.  However, this did not hinder the Court in making findings against PoolRe.  In doing so, the Court acted improperly.  </w:t>
      </w:r>
    </w:p>
    <w:p w14:paraId="0DF6F106" w14:textId="77777777" w:rsidR="000A2139" w:rsidRDefault="000A2139" w:rsidP="00CA6FD3">
      <w:pPr>
        <w:spacing w:after="0" w:line="240" w:lineRule="auto"/>
        <w:rPr>
          <w:rFonts w:ascii="Times New Roman" w:hAnsi="Times New Roman" w:cs="Times New Roman"/>
          <w:sz w:val="24"/>
          <w:szCs w:val="24"/>
        </w:rPr>
      </w:pPr>
    </w:p>
    <w:p w14:paraId="27B6B6DB" w14:textId="0A1B79A6" w:rsidR="000A2139" w:rsidRDefault="000A2139" w:rsidP="00CA6FD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Court’s dismissiveness also included ignoring PoolRe’s assumption of insurance obligations with respect to a pool of contractual liability risks originally underwritten by a </w:t>
      </w:r>
      <w:r w:rsidRPr="00CA6FD3">
        <w:rPr>
          <w:rFonts w:ascii="Times New Roman" w:hAnsi="Times New Roman" w:cs="Times New Roman"/>
          <w:sz w:val="24"/>
          <w:szCs w:val="24"/>
        </w:rPr>
        <w:t>publicly</w:t>
      </w:r>
      <w:r>
        <w:rPr>
          <w:rFonts w:ascii="Times New Roman" w:hAnsi="Times New Roman" w:cs="Times New Roman"/>
          <w:sz w:val="24"/>
          <w:szCs w:val="24"/>
        </w:rPr>
        <w:t>-</w:t>
      </w:r>
      <w:r w:rsidRPr="00CA6FD3">
        <w:rPr>
          <w:rFonts w:ascii="Times New Roman" w:hAnsi="Times New Roman" w:cs="Times New Roman"/>
          <w:sz w:val="24"/>
          <w:szCs w:val="24"/>
        </w:rPr>
        <w:t>held insurance company</w:t>
      </w:r>
      <w:r>
        <w:rPr>
          <w:rFonts w:ascii="Times New Roman" w:hAnsi="Times New Roman" w:cs="Times New Roman"/>
          <w:sz w:val="24"/>
          <w:szCs w:val="24"/>
        </w:rPr>
        <w:t xml:space="preserve"> (Lyndon), which PoolRe in turn ceded to the 58 participating captive insurers and others pursuant to an industry standard “quota share” reinsurance arrangement.  The Court </w:t>
      </w:r>
      <w:r>
        <w:rPr>
          <w:rFonts w:ascii="Times New Roman" w:hAnsi="Times New Roman" w:cs="Times New Roman"/>
          <w:sz w:val="24"/>
          <w:szCs w:val="24"/>
        </w:rPr>
        <w:lastRenderedPageBreak/>
        <w:t>concluded that these contractual liability risks were also “not insurance” despite expert testimony and evidence of the reinsurance arrangement (referencing the underlying Lyndon insurance contracts) being admitted at trial.</w:t>
      </w:r>
      <w:r>
        <w:rPr>
          <w:rStyle w:val="EndnoteReference"/>
          <w:rFonts w:ascii="Times New Roman" w:hAnsi="Times New Roman" w:cs="Times New Roman"/>
          <w:sz w:val="24"/>
          <w:szCs w:val="24"/>
        </w:rPr>
        <w:endnoteReference w:id="63"/>
      </w:r>
      <w:r>
        <w:rPr>
          <w:rFonts w:ascii="Times New Roman" w:hAnsi="Times New Roman" w:cs="Times New Roman"/>
          <w:sz w:val="24"/>
          <w:szCs w:val="24"/>
        </w:rPr>
        <w:t xml:space="preserve">  </w:t>
      </w:r>
      <w:r w:rsidRPr="0047187C">
        <w:rPr>
          <w:rFonts w:ascii="Times New Roman" w:hAnsi="Times New Roman" w:cs="Times New Roman"/>
          <w:sz w:val="24"/>
          <w:szCs w:val="24"/>
        </w:rPr>
        <w:t>The government provided no evidence whatsoever to dispute the validity of the Lyndon originated contractual liability insurance</w:t>
      </w:r>
      <w:r>
        <w:rPr>
          <w:rFonts w:ascii="Times New Roman" w:hAnsi="Times New Roman" w:cs="Times New Roman"/>
          <w:sz w:val="24"/>
          <w:szCs w:val="24"/>
        </w:rPr>
        <w:t>.  The Court erred in concluding that these were not insurance contracts and reached this erroneous conclusion despite the testimony of the actuary and owner of the reinsurer ceding the Lyndon coverage to PoolRe that these ceded obligations to PoolRe were insurance.</w:t>
      </w:r>
      <w:r>
        <w:rPr>
          <w:rStyle w:val="EndnoteReference"/>
          <w:rFonts w:ascii="Times New Roman" w:hAnsi="Times New Roman" w:cs="Times New Roman"/>
          <w:sz w:val="24"/>
          <w:szCs w:val="24"/>
        </w:rPr>
        <w:endnoteReference w:id="64"/>
      </w:r>
      <w:r>
        <w:rPr>
          <w:rFonts w:ascii="Times New Roman" w:hAnsi="Times New Roman" w:cs="Times New Roman"/>
          <w:sz w:val="24"/>
          <w:szCs w:val="24"/>
        </w:rPr>
        <w:t xml:space="preserve">  Dr. Doherty’s expert testimony also confirmed the industry-typical mechanics of this PoolRe coinsurance and ceding arrangement as well.</w:t>
      </w:r>
      <w:r>
        <w:rPr>
          <w:rStyle w:val="EndnoteReference"/>
          <w:rFonts w:ascii="Times New Roman" w:hAnsi="Times New Roman" w:cs="Times New Roman"/>
          <w:sz w:val="24"/>
          <w:szCs w:val="24"/>
        </w:rPr>
        <w:endnoteReference w:id="65"/>
      </w:r>
      <w:r>
        <w:rPr>
          <w:rFonts w:ascii="Times New Roman" w:hAnsi="Times New Roman" w:cs="Times New Roman"/>
          <w:sz w:val="24"/>
          <w:szCs w:val="24"/>
        </w:rPr>
        <w:t xml:space="preserve">  Again, t</w:t>
      </w:r>
      <w:r w:rsidRPr="00CE6DEB">
        <w:rPr>
          <w:rFonts w:ascii="Times New Roman" w:hAnsi="Times New Roman" w:cs="Times New Roman"/>
          <w:sz w:val="24"/>
          <w:szCs w:val="24"/>
        </w:rPr>
        <w:t xml:space="preserve">he Court </w:t>
      </w:r>
      <w:r>
        <w:rPr>
          <w:rFonts w:ascii="Times New Roman" w:hAnsi="Times New Roman" w:cs="Times New Roman"/>
          <w:sz w:val="24"/>
          <w:szCs w:val="24"/>
        </w:rPr>
        <w:t>made a conclusion contrary to the only evidence before it on this issue.</w:t>
      </w:r>
    </w:p>
    <w:p w14:paraId="2791B817" w14:textId="77777777" w:rsidR="000A2139" w:rsidRDefault="000A2139" w:rsidP="00CA6FD3">
      <w:pPr>
        <w:spacing w:after="0" w:line="240" w:lineRule="auto"/>
        <w:rPr>
          <w:rFonts w:ascii="Times New Roman" w:hAnsi="Times New Roman" w:cs="Times New Roman"/>
          <w:sz w:val="24"/>
          <w:szCs w:val="24"/>
        </w:rPr>
      </w:pPr>
    </w:p>
    <w:p w14:paraId="1C501D9A" w14:textId="77777777" w:rsidR="000A2139" w:rsidRDefault="000A2139" w:rsidP="00CA6FD3">
      <w:pPr>
        <w:spacing w:after="0" w:line="240" w:lineRule="auto"/>
        <w:rPr>
          <w:rFonts w:ascii="Times New Roman" w:hAnsi="Times New Roman" w:cs="Times New Roman"/>
          <w:sz w:val="24"/>
          <w:szCs w:val="24"/>
        </w:rPr>
      </w:pPr>
      <w:r>
        <w:rPr>
          <w:rFonts w:ascii="Times New Roman" w:hAnsi="Times New Roman" w:cs="Times New Roman"/>
          <w:sz w:val="24"/>
          <w:szCs w:val="24"/>
        </w:rPr>
        <w:t>T</w:t>
      </w:r>
      <w:r w:rsidRPr="00CA6FD3">
        <w:rPr>
          <w:rFonts w:ascii="Times New Roman" w:hAnsi="Times New Roman" w:cs="Times New Roman"/>
          <w:sz w:val="24"/>
          <w:szCs w:val="24"/>
        </w:rPr>
        <w:t xml:space="preserve">here is no prior law that </w:t>
      </w:r>
      <w:r>
        <w:rPr>
          <w:rFonts w:ascii="Times New Roman" w:hAnsi="Times New Roman" w:cs="Times New Roman"/>
          <w:sz w:val="24"/>
          <w:szCs w:val="24"/>
        </w:rPr>
        <w:t xml:space="preserve">imposed the </w:t>
      </w:r>
      <w:r w:rsidRPr="00CA6FD3">
        <w:rPr>
          <w:rFonts w:ascii="Times New Roman" w:hAnsi="Times New Roman" w:cs="Times New Roman"/>
          <w:sz w:val="24"/>
          <w:szCs w:val="24"/>
        </w:rPr>
        <w:t xml:space="preserve">requirement </w:t>
      </w:r>
      <w:r>
        <w:rPr>
          <w:rFonts w:ascii="Times New Roman" w:hAnsi="Times New Roman" w:cs="Times New Roman"/>
          <w:sz w:val="24"/>
          <w:szCs w:val="24"/>
        </w:rPr>
        <w:t xml:space="preserve">that a pooling be an insurance arrangement.  </w:t>
      </w:r>
      <w:r w:rsidRPr="00CA6FD3">
        <w:rPr>
          <w:rFonts w:ascii="Times New Roman" w:hAnsi="Times New Roman" w:cs="Times New Roman"/>
          <w:sz w:val="24"/>
          <w:szCs w:val="24"/>
        </w:rPr>
        <w:t xml:space="preserve">Even the </w:t>
      </w:r>
      <w:r>
        <w:rPr>
          <w:rFonts w:ascii="Times New Roman" w:hAnsi="Times New Roman" w:cs="Times New Roman"/>
          <w:sz w:val="24"/>
          <w:szCs w:val="24"/>
        </w:rPr>
        <w:t>government</w:t>
      </w:r>
      <w:r w:rsidRPr="00CA6FD3">
        <w:rPr>
          <w:rFonts w:ascii="Times New Roman" w:hAnsi="Times New Roman" w:cs="Times New Roman"/>
          <w:sz w:val="24"/>
          <w:szCs w:val="24"/>
        </w:rPr>
        <w:t xml:space="preserve"> conceded this point </w:t>
      </w:r>
      <w:r>
        <w:rPr>
          <w:rFonts w:ascii="Times New Roman" w:hAnsi="Times New Roman" w:cs="Times New Roman"/>
          <w:sz w:val="24"/>
          <w:szCs w:val="24"/>
        </w:rPr>
        <w:t xml:space="preserve">in its rulings and other pronouncements prior to the Tax Court’s decision in </w:t>
      </w:r>
      <w:r w:rsidRPr="00C13B1B">
        <w:rPr>
          <w:rFonts w:ascii="Times New Roman" w:hAnsi="Times New Roman" w:cs="Times New Roman"/>
          <w:i/>
          <w:sz w:val="24"/>
          <w:szCs w:val="24"/>
        </w:rPr>
        <w:t>Avrahami</w:t>
      </w:r>
      <w:r>
        <w:rPr>
          <w:rFonts w:ascii="Times New Roman" w:hAnsi="Times New Roman" w:cs="Times New Roman"/>
          <w:sz w:val="24"/>
          <w:szCs w:val="24"/>
        </w:rPr>
        <w:t>.</w:t>
      </w:r>
      <w:r>
        <w:rPr>
          <w:rStyle w:val="EndnoteReference"/>
          <w:rFonts w:ascii="Times New Roman" w:hAnsi="Times New Roman" w:cs="Times New Roman"/>
          <w:sz w:val="24"/>
          <w:szCs w:val="24"/>
        </w:rPr>
        <w:endnoteReference w:id="66"/>
      </w:r>
      <w:r>
        <w:rPr>
          <w:rFonts w:ascii="Times New Roman" w:hAnsi="Times New Roman" w:cs="Times New Roman"/>
          <w:sz w:val="24"/>
          <w:szCs w:val="24"/>
        </w:rPr>
        <w:t xml:space="preserve">  Yet Judge Holmes failed to cite to any of these authorities when he introduced this anomalous concept in </w:t>
      </w:r>
      <w:r w:rsidRPr="002B4ED8">
        <w:rPr>
          <w:rFonts w:ascii="Times New Roman" w:hAnsi="Times New Roman" w:cs="Times New Roman"/>
          <w:i/>
          <w:sz w:val="24"/>
          <w:szCs w:val="24"/>
        </w:rPr>
        <w:t>Avrahami</w:t>
      </w:r>
      <w:r>
        <w:rPr>
          <w:rFonts w:ascii="Times New Roman" w:hAnsi="Times New Roman" w:cs="Times New Roman"/>
          <w:sz w:val="24"/>
          <w:szCs w:val="24"/>
        </w:rPr>
        <w:t xml:space="preserve">, which was then relied upon by the </w:t>
      </w:r>
      <w:r w:rsidRPr="00EB6237">
        <w:rPr>
          <w:rFonts w:ascii="Times New Roman" w:hAnsi="Times New Roman" w:cs="Times New Roman"/>
          <w:i/>
          <w:sz w:val="24"/>
          <w:szCs w:val="24"/>
        </w:rPr>
        <w:t>Reserve</w:t>
      </w:r>
      <w:r>
        <w:rPr>
          <w:rFonts w:ascii="Times New Roman" w:hAnsi="Times New Roman" w:cs="Times New Roman"/>
          <w:sz w:val="24"/>
          <w:szCs w:val="24"/>
        </w:rPr>
        <w:t xml:space="preserve"> Court, erroneously citing to </w:t>
      </w:r>
      <w:r w:rsidRPr="003B7752">
        <w:rPr>
          <w:rFonts w:ascii="Times New Roman" w:hAnsi="Times New Roman" w:cs="Times New Roman"/>
          <w:i/>
          <w:sz w:val="24"/>
          <w:szCs w:val="24"/>
        </w:rPr>
        <w:t>Rent-A-Center</w:t>
      </w:r>
      <w:r>
        <w:rPr>
          <w:rFonts w:ascii="Times New Roman" w:hAnsi="Times New Roman" w:cs="Times New Roman"/>
          <w:sz w:val="24"/>
          <w:szCs w:val="24"/>
        </w:rPr>
        <w:t xml:space="preserve"> for support.</w:t>
      </w:r>
      <w:r>
        <w:rPr>
          <w:rStyle w:val="EndnoteReference"/>
          <w:rFonts w:ascii="Times New Roman" w:hAnsi="Times New Roman" w:cs="Times New Roman"/>
          <w:sz w:val="24"/>
          <w:szCs w:val="24"/>
        </w:rPr>
        <w:endnoteReference w:id="67"/>
      </w:r>
    </w:p>
    <w:p w14:paraId="488C6F37" w14:textId="77777777" w:rsidR="000A2139" w:rsidRDefault="000A2139" w:rsidP="00CA6FD3">
      <w:pPr>
        <w:spacing w:after="0" w:line="240" w:lineRule="auto"/>
        <w:rPr>
          <w:rFonts w:ascii="Times New Roman" w:hAnsi="Times New Roman" w:cs="Times New Roman"/>
          <w:sz w:val="24"/>
          <w:szCs w:val="24"/>
        </w:rPr>
      </w:pPr>
    </w:p>
    <w:p w14:paraId="4E937BC1" w14:textId="77777777" w:rsidR="000A2139" w:rsidRDefault="000A2139" w:rsidP="00CA6FD3">
      <w:pPr>
        <w:spacing w:after="0" w:line="240" w:lineRule="auto"/>
        <w:rPr>
          <w:rFonts w:ascii="Times New Roman" w:hAnsi="Times New Roman" w:cs="Times New Roman"/>
          <w:sz w:val="24"/>
          <w:szCs w:val="24"/>
        </w:rPr>
      </w:pPr>
      <w:r w:rsidRPr="00CA6FD3">
        <w:rPr>
          <w:rFonts w:ascii="Times New Roman" w:hAnsi="Times New Roman" w:cs="Times New Roman"/>
          <w:sz w:val="24"/>
          <w:szCs w:val="24"/>
        </w:rPr>
        <w:t xml:space="preserve">Despite </w:t>
      </w:r>
      <w:r>
        <w:rPr>
          <w:rFonts w:ascii="Times New Roman" w:hAnsi="Times New Roman" w:cs="Times New Roman"/>
          <w:sz w:val="24"/>
          <w:szCs w:val="24"/>
        </w:rPr>
        <w:t>Judge Kerrigan applying this new requirement to the pooling arrangement administered by PoolRe</w:t>
      </w:r>
      <w:r w:rsidRPr="00CA6FD3">
        <w:rPr>
          <w:rFonts w:ascii="Times New Roman" w:hAnsi="Times New Roman" w:cs="Times New Roman"/>
          <w:sz w:val="24"/>
          <w:szCs w:val="24"/>
        </w:rPr>
        <w:t xml:space="preserve">, the evidence at trial demonstrated that PoolRe’s activities </w:t>
      </w:r>
      <w:r>
        <w:rPr>
          <w:rFonts w:ascii="Times New Roman" w:hAnsi="Times New Roman" w:cs="Times New Roman"/>
          <w:sz w:val="24"/>
          <w:szCs w:val="24"/>
        </w:rPr>
        <w:t>in fact we</w:t>
      </w:r>
      <w:r w:rsidRPr="00CA6FD3">
        <w:rPr>
          <w:rFonts w:ascii="Times New Roman" w:hAnsi="Times New Roman" w:cs="Times New Roman"/>
          <w:sz w:val="24"/>
          <w:szCs w:val="24"/>
        </w:rPr>
        <w:t>re those of a bona fide insurance company</w:t>
      </w:r>
      <w:r>
        <w:rPr>
          <w:rFonts w:ascii="Times New Roman" w:hAnsi="Times New Roman" w:cs="Times New Roman"/>
          <w:sz w:val="24"/>
          <w:szCs w:val="24"/>
        </w:rPr>
        <w:t xml:space="preserve"> licensed by a territory of the United Kingdom during all years in issue, despite the Court’s conclusion to the contrary</w:t>
      </w:r>
      <w:r w:rsidRPr="00CA6FD3">
        <w:rPr>
          <w:rFonts w:ascii="Times New Roman" w:hAnsi="Times New Roman" w:cs="Times New Roman"/>
          <w:sz w:val="24"/>
          <w:szCs w:val="24"/>
        </w:rPr>
        <w:t>.</w:t>
      </w:r>
      <w:r>
        <w:rPr>
          <w:rStyle w:val="EndnoteReference"/>
          <w:rFonts w:ascii="Times New Roman" w:hAnsi="Times New Roman" w:cs="Times New Roman"/>
          <w:sz w:val="24"/>
          <w:szCs w:val="24"/>
        </w:rPr>
        <w:endnoteReference w:id="68"/>
      </w:r>
    </w:p>
    <w:p w14:paraId="0AFF6EBD" w14:textId="77777777" w:rsidR="000A2139" w:rsidRPr="00B54788" w:rsidRDefault="000A2139" w:rsidP="00B54788">
      <w:pPr>
        <w:spacing w:after="0"/>
        <w:rPr>
          <w:rFonts w:ascii="Times New Roman" w:hAnsi="Times New Roman" w:cs="Times New Roman"/>
          <w:sz w:val="24"/>
          <w:szCs w:val="24"/>
          <w:highlight w:val="yellow"/>
        </w:rPr>
      </w:pPr>
    </w:p>
    <w:p w14:paraId="0447F10D" w14:textId="7B445A00" w:rsidR="000A2139" w:rsidRPr="002A2107" w:rsidRDefault="000A2139" w:rsidP="002A2107">
      <w:pPr>
        <w:pStyle w:val="Heading1"/>
        <w:spacing w:before="0" w:line="240" w:lineRule="auto"/>
        <w:rPr>
          <w:rFonts w:ascii="Times New Roman" w:hAnsi="Times New Roman" w:cs="Times New Roman"/>
          <w:b/>
          <w:color w:val="auto"/>
          <w:sz w:val="24"/>
          <w:szCs w:val="24"/>
        </w:rPr>
      </w:pPr>
      <w:bookmarkStart w:id="22" w:name="_Toc534366172"/>
      <w:r w:rsidRPr="002A2107">
        <w:rPr>
          <w:rFonts w:ascii="Times New Roman" w:hAnsi="Times New Roman" w:cs="Times New Roman"/>
          <w:b/>
          <w:color w:val="auto"/>
          <w:sz w:val="24"/>
          <w:szCs w:val="24"/>
        </w:rPr>
        <w:t xml:space="preserve">IV. The </w:t>
      </w:r>
      <w:r w:rsidRPr="002A2107">
        <w:rPr>
          <w:rFonts w:ascii="Times New Roman" w:hAnsi="Times New Roman" w:cs="Times New Roman"/>
          <w:b/>
          <w:i/>
          <w:color w:val="auto"/>
          <w:sz w:val="24"/>
          <w:szCs w:val="24"/>
        </w:rPr>
        <w:t>Reserve</w:t>
      </w:r>
      <w:r w:rsidRPr="002A2107">
        <w:rPr>
          <w:rFonts w:ascii="Times New Roman" w:hAnsi="Times New Roman" w:cs="Times New Roman"/>
          <w:b/>
          <w:color w:val="auto"/>
          <w:sz w:val="24"/>
          <w:szCs w:val="24"/>
        </w:rPr>
        <w:t xml:space="preserve"> Court Misapplied </w:t>
      </w:r>
      <w:r w:rsidRPr="002A2107">
        <w:rPr>
          <w:rFonts w:ascii="Times New Roman" w:hAnsi="Times New Roman" w:cs="Times New Roman"/>
          <w:b/>
          <w:i/>
          <w:color w:val="auto"/>
          <w:sz w:val="24"/>
          <w:szCs w:val="24"/>
        </w:rPr>
        <w:t xml:space="preserve">Avrahami </w:t>
      </w:r>
      <w:r w:rsidRPr="002A2107">
        <w:rPr>
          <w:rFonts w:ascii="Times New Roman" w:hAnsi="Times New Roman" w:cs="Times New Roman"/>
          <w:b/>
          <w:color w:val="auto"/>
          <w:sz w:val="24"/>
          <w:szCs w:val="24"/>
        </w:rPr>
        <w:t>Despite Fundamental Differences</w:t>
      </w:r>
      <w:bookmarkEnd w:id="22"/>
      <w:r w:rsidRPr="002A2107">
        <w:rPr>
          <w:rFonts w:ascii="Times New Roman" w:hAnsi="Times New Roman" w:cs="Times New Roman"/>
          <w:b/>
          <w:color w:val="auto"/>
          <w:sz w:val="24"/>
          <w:szCs w:val="24"/>
        </w:rPr>
        <w:t xml:space="preserve"> </w:t>
      </w:r>
    </w:p>
    <w:p w14:paraId="56F72F87" w14:textId="77777777" w:rsidR="000A2139" w:rsidRDefault="000A2139" w:rsidP="00B61CA0">
      <w:pPr>
        <w:spacing w:after="0" w:line="240" w:lineRule="auto"/>
        <w:rPr>
          <w:rFonts w:ascii="Times New Roman" w:hAnsi="Times New Roman" w:cs="Times New Roman"/>
          <w:sz w:val="24"/>
          <w:szCs w:val="24"/>
        </w:rPr>
      </w:pPr>
    </w:p>
    <w:p w14:paraId="63E72389" w14:textId="38C88177" w:rsidR="000A2139" w:rsidRDefault="000A2139" w:rsidP="00B61CA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its attempt to mold the facts in </w:t>
      </w:r>
      <w:r>
        <w:rPr>
          <w:rFonts w:ascii="Times New Roman" w:hAnsi="Times New Roman" w:cs="Times New Roman"/>
          <w:i/>
          <w:sz w:val="24"/>
          <w:szCs w:val="24"/>
        </w:rPr>
        <w:t>Reserve</w:t>
      </w:r>
      <w:r w:rsidRPr="00EF35E0">
        <w:rPr>
          <w:rFonts w:ascii="Times New Roman" w:hAnsi="Times New Roman" w:cs="Times New Roman"/>
          <w:sz w:val="24"/>
          <w:szCs w:val="24"/>
        </w:rPr>
        <w:t xml:space="preserve"> </w:t>
      </w:r>
      <w:r>
        <w:rPr>
          <w:rFonts w:ascii="Times New Roman" w:hAnsi="Times New Roman" w:cs="Times New Roman"/>
          <w:sz w:val="24"/>
          <w:szCs w:val="24"/>
        </w:rPr>
        <w:t>in</w:t>
      </w:r>
      <w:r w:rsidRPr="00EF35E0">
        <w:rPr>
          <w:rFonts w:ascii="Times New Roman" w:hAnsi="Times New Roman" w:cs="Times New Roman"/>
          <w:sz w:val="24"/>
          <w:szCs w:val="24"/>
        </w:rPr>
        <w:t>to the</w:t>
      </w:r>
      <w:r>
        <w:rPr>
          <w:rFonts w:ascii="Times New Roman" w:hAnsi="Times New Roman" w:cs="Times New Roman"/>
          <w:sz w:val="24"/>
          <w:szCs w:val="24"/>
        </w:rPr>
        <w:t xml:space="preserve"> holdings in</w:t>
      </w:r>
      <w:r w:rsidRPr="00EF35E0">
        <w:rPr>
          <w:rFonts w:ascii="Times New Roman" w:hAnsi="Times New Roman" w:cs="Times New Roman"/>
          <w:sz w:val="24"/>
          <w:szCs w:val="24"/>
        </w:rPr>
        <w:t xml:space="preserve"> </w:t>
      </w:r>
      <w:r>
        <w:rPr>
          <w:rFonts w:ascii="Times New Roman" w:hAnsi="Times New Roman" w:cs="Times New Roman"/>
          <w:i/>
          <w:sz w:val="24"/>
          <w:szCs w:val="24"/>
        </w:rPr>
        <w:t>A</w:t>
      </w:r>
      <w:r w:rsidRPr="008248D2">
        <w:rPr>
          <w:rFonts w:ascii="Times New Roman" w:hAnsi="Times New Roman" w:cs="Times New Roman"/>
          <w:i/>
          <w:sz w:val="24"/>
          <w:szCs w:val="24"/>
        </w:rPr>
        <w:t>vrahami</w:t>
      </w:r>
      <w:r>
        <w:rPr>
          <w:rFonts w:ascii="Times New Roman" w:hAnsi="Times New Roman" w:cs="Times New Roman"/>
          <w:sz w:val="24"/>
          <w:szCs w:val="24"/>
        </w:rPr>
        <w:t xml:space="preserve"> opinion, the Court did not analyze numerous key differences between the two captive insurance arrangements, some of which are summarized in the table below.</w:t>
      </w:r>
    </w:p>
    <w:p w14:paraId="7F1B7D61" w14:textId="5CA5F98F" w:rsidR="000A2139" w:rsidRDefault="000A2139" w:rsidP="00B61CA0">
      <w:pPr>
        <w:spacing w:after="0" w:line="240" w:lineRule="auto"/>
        <w:rPr>
          <w:rFonts w:ascii="Times New Roman" w:hAnsi="Times New Roman" w:cs="Times New Roman"/>
          <w:sz w:val="24"/>
          <w:szCs w:val="24"/>
        </w:rPr>
      </w:pPr>
    </w:p>
    <w:p w14:paraId="6663BE96" w14:textId="4BD89BAE" w:rsidR="000A2139" w:rsidRPr="00173D56" w:rsidRDefault="000A2139" w:rsidP="00173D56">
      <w:pPr>
        <w:pStyle w:val="Heading2"/>
        <w:spacing w:before="0" w:line="240" w:lineRule="auto"/>
        <w:rPr>
          <w:rFonts w:ascii="Times New Roman" w:hAnsi="Times New Roman" w:cs="Times New Roman"/>
          <w:b/>
          <w:color w:val="auto"/>
          <w:sz w:val="24"/>
          <w:szCs w:val="24"/>
          <w:u w:val="single"/>
        </w:rPr>
      </w:pPr>
      <w:bookmarkStart w:id="23" w:name="_Toc533076783"/>
      <w:bookmarkStart w:id="24" w:name="_Toc534366173"/>
      <w:r w:rsidRPr="00173D56">
        <w:rPr>
          <w:rFonts w:ascii="Times New Roman" w:hAnsi="Times New Roman" w:cs="Times New Roman"/>
          <w:b/>
          <w:color w:val="auto"/>
          <w:sz w:val="24"/>
          <w:szCs w:val="24"/>
          <w:u w:val="single"/>
        </w:rPr>
        <w:t xml:space="preserve">Contrasting the </w:t>
      </w:r>
      <w:r w:rsidRPr="00173D56">
        <w:rPr>
          <w:rFonts w:ascii="Times New Roman" w:hAnsi="Times New Roman" w:cs="Times New Roman"/>
          <w:b/>
          <w:i/>
          <w:color w:val="auto"/>
          <w:sz w:val="24"/>
          <w:szCs w:val="24"/>
          <w:u w:val="single"/>
        </w:rPr>
        <w:t>Avrahami</w:t>
      </w:r>
      <w:r w:rsidRPr="00173D56">
        <w:rPr>
          <w:rFonts w:ascii="Times New Roman" w:hAnsi="Times New Roman" w:cs="Times New Roman"/>
          <w:b/>
          <w:color w:val="auto"/>
          <w:sz w:val="24"/>
          <w:szCs w:val="24"/>
          <w:u w:val="single"/>
        </w:rPr>
        <w:t xml:space="preserve"> Facts with the </w:t>
      </w:r>
      <w:r w:rsidRPr="00173D56">
        <w:rPr>
          <w:rFonts w:ascii="Times New Roman" w:hAnsi="Times New Roman" w:cs="Times New Roman"/>
          <w:b/>
          <w:i/>
          <w:color w:val="auto"/>
          <w:sz w:val="24"/>
          <w:szCs w:val="24"/>
          <w:u w:val="single"/>
        </w:rPr>
        <w:t>Reserve</w:t>
      </w:r>
      <w:r w:rsidRPr="00173D56">
        <w:rPr>
          <w:rFonts w:ascii="Times New Roman" w:hAnsi="Times New Roman" w:cs="Times New Roman"/>
          <w:b/>
          <w:color w:val="auto"/>
          <w:sz w:val="24"/>
          <w:szCs w:val="24"/>
          <w:u w:val="single"/>
        </w:rPr>
        <w:t xml:space="preserve"> Facts</w:t>
      </w:r>
      <w:bookmarkEnd w:id="23"/>
      <w:bookmarkEnd w:id="24"/>
    </w:p>
    <w:p w14:paraId="354B2246" w14:textId="77777777" w:rsidR="000A2139" w:rsidRDefault="000A2139" w:rsidP="00B61CA0">
      <w:pPr>
        <w:spacing w:after="0" w:line="240" w:lineRule="auto"/>
        <w:rPr>
          <w:rFonts w:ascii="Times New Roman" w:hAnsi="Times New Roman" w:cs="Times New Roman"/>
          <w:sz w:val="24"/>
          <w:szCs w:val="24"/>
        </w:rPr>
      </w:pPr>
    </w:p>
    <w:tbl>
      <w:tblPr>
        <w:tblStyle w:val="TableGrid"/>
        <w:tblW w:w="0" w:type="auto"/>
        <w:tblInd w:w="-95" w:type="dxa"/>
        <w:tblLook w:val="04A0" w:firstRow="1" w:lastRow="0" w:firstColumn="1" w:lastColumn="0" w:noHBand="0" w:noVBand="1"/>
      </w:tblPr>
      <w:tblGrid>
        <w:gridCol w:w="4680"/>
        <w:gridCol w:w="4765"/>
      </w:tblGrid>
      <w:tr w:rsidR="000A2139" w14:paraId="3216B0A9" w14:textId="77777777" w:rsidTr="00AF031B">
        <w:trPr>
          <w:tblHeader/>
        </w:trPr>
        <w:tc>
          <w:tcPr>
            <w:tcW w:w="4680" w:type="dxa"/>
          </w:tcPr>
          <w:p w14:paraId="1E6EB9AA" w14:textId="77777777" w:rsidR="000A2139" w:rsidRDefault="000A2139" w:rsidP="00D52040">
            <w:pPr>
              <w:rPr>
                <w:rFonts w:ascii="Times New Roman" w:hAnsi="Times New Roman" w:cs="Times New Roman"/>
                <w:b/>
                <w:i/>
                <w:sz w:val="24"/>
                <w:szCs w:val="24"/>
              </w:rPr>
            </w:pPr>
            <w:r w:rsidRPr="000A75F5">
              <w:rPr>
                <w:rFonts w:ascii="Times New Roman" w:hAnsi="Times New Roman" w:cs="Times New Roman"/>
                <w:b/>
                <w:i/>
                <w:sz w:val="24"/>
                <w:szCs w:val="24"/>
              </w:rPr>
              <w:t>Avrahami</w:t>
            </w:r>
          </w:p>
          <w:p w14:paraId="18D56742" w14:textId="77777777" w:rsidR="000A2139" w:rsidRPr="009D1140" w:rsidRDefault="000A2139" w:rsidP="00D52040">
            <w:pPr>
              <w:rPr>
                <w:rFonts w:ascii="Times New Roman" w:hAnsi="Times New Roman" w:cs="Times New Roman"/>
                <w:b/>
                <w:i/>
                <w:sz w:val="24"/>
                <w:szCs w:val="24"/>
              </w:rPr>
            </w:pPr>
          </w:p>
        </w:tc>
        <w:tc>
          <w:tcPr>
            <w:tcW w:w="4765" w:type="dxa"/>
          </w:tcPr>
          <w:p w14:paraId="4DE700CE" w14:textId="77777777" w:rsidR="000A2139" w:rsidRDefault="000A2139" w:rsidP="00D52040">
            <w:pPr>
              <w:rPr>
                <w:rFonts w:ascii="Times New Roman" w:hAnsi="Times New Roman" w:cs="Times New Roman"/>
                <w:sz w:val="24"/>
                <w:szCs w:val="24"/>
              </w:rPr>
            </w:pPr>
            <w:r w:rsidRPr="000A75F5">
              <w:rPr>
                <w:rFonts w:ascii="Times New Roman" w:hAnsi="Times New Roman" w:cs="Times New Roman"/>
                <w:b/>
                <w:i/>
                <w:sz w:val="24"/>
                <w:szCs w:val="24"/>
              </w:rPr>
              <w:t>Reserve</w:t>
            </w:r>
          </w:p>
        </w:tc>
      </w:tr>
      <w:tr w:rsidR="000A2139" w:rsidRPr="003737A2" w14:paraId="7635DEA4" w14:textId="77777777" w:rsidTr="00CC5341">
        <w:tc>
          <w:tcPr>
            <w:tcW w:w="4680" w:type="dxa"/>
          </w:tcPr>
          <w:p w14:paraId="2B84045C" w14:textId="4EBA4285" w:rsidR="000A2139" w:rsidRDefault="000A2139">
            <w:pPr>
              <w:rPr>
                <w:rFonts w:ascii="Times New Roman" w:hAnsi="Times New Roman" w:cs="Times New Roman"/>
              </w:rPr>
            </w:pPr>
            <w:r>
              <w:rPr>
                <w:rFonts w:ascii="Times New Roman" w:hAnsi="Times New Roman" w:cs="Times New Roman"/>
              </w:rPr>
              <w:t>There was only a single policy (terrorism) being pooled or blended as part of the captive insurer’s risk diversification program.  The court concluded that this t</w:t>
            </w:r>
            <w:r w:rsidRPr="0040614D">
              <w:rPr>
                <w:rFonts w:ascii="Times New Roman" w:hAnsi="Times New Roman" w:cs="Times New Roman"/>
              </w:rPr>
              <w:t xml:space="preserve">errorism policy was significantly overpriced </w:t>
            </w:r>
            <w:r>
              <w:rPr>
                <w:rFonts w:ascii="Times New Roman" w:hAnsi="Times New Roman" w:cs="Times New Roman"/>
              </w:rPr>
              <w:t>because its pricing was not determined with reference to the location or risks insured.</w:t>
            </w:r>
            <w:r>
              <w:rPr>
                <w:rStyle w:val="EndnoteReference"/>
                <w:rFonts w:ascii="Times New Roman" w:hAnsi="Times New Roman" w:cs="Times New Roman"/>
              </w:rPr>
              <w:endnoteReference w:id="69"/>
            </w:r>
            <w:r>
              <w:rPr>
                <w:rFonts w:ascii="Times New Roman" w:hAnsi="Times New Roman" w:cs="Times New Roman"/>
              </w:rPr>
              <w:t xml:space="preserve">  Rather, the pricing was to achieve a tax objective.</w:t>
            </w:r>
            <w:r>
              <w:rPr>
                <w:rStyle w:val="EndnoteReference"/>
                <w:rFonts w:ascii="Times New Roman" w:hAnsi="Times New Roman" w:cs="Times New Roman"/>
              </w:rPr>
              <w:endnoteReference w:id="70"/>
            </w:r>
            <w:r>
              <w:rPr>
                <w:rFonts w:ascii="Times New Roman" w:hAnsi="Times New Roman" w:cs="Times New Roman"/>
              </w:rPr>
              <w:t xml:space="preserve">  The terrorism policy seemed to duplicate a commercial insurance policy that had been priced at a fraction of the captive’s policy.</w:t>
            </w:r>
            <w:r>
              <w:rPr>
                <w:rStyle w:val="EndnoteReference"/>
                <w:rFonts w:ascii="Times New Roman" w:hAnsi="Times New Roman" w:cs="Times New Roman"/>
              </w:rPr>
              <w:endnoteReference w:id="71"/>
            </w:r>
            <w:r>
              <w:rPr>
                <w:rFonts w:ascii="Times New Roman" w:hAnsi="Times New Roman" w:cs="Times New Roman"/>
              </w:rPr>
              <w:t xml:space="preserve">  The Court found the actuary not credible.</w:t>
            </w:r>
          </w:p>
          <w:p w14:paraId="02A80369" w14:textId="77777777" w:rsidR="000A2139" w:rsidRPr="0040614D" w:rsidRDefault="000A2139" w:rsidP="00D52040">
            <w:pPr>
              <w:rPr>
                <w:rFonts w:ascii="Times New Roman" w:hAnsi="Times New Roman" w:cs="Times New Roman"/>
              </w:rPr>
            </w:pPr>
          </w:p>
        </w:tc>
        <w:tc>
          <w:tcPr>
            <w:tcW w:w="4765" w:type="dxa"/>
          </w:tcPr>
          <w:p w14:paraId="0297794A" w14:textId="77777777" w:rsidR="000A2139" w:rsidRDefault="000A2139" w:rsidP="00D52040">
            <w:pPr>
              <w:rPr>
                <w:rFonts w:ascii="Times New Roman" w:hAnsi="Times New Roman" w:cs="Times New Roman"/>
              </w:rPr>
            </w:pPr>
            <w:r>
              <w:rPr>
                <w:rFonts w:ascii="Times New Roman" w:hAnsi="Times New Roman" w:cs="Times New Roman"/>
              </w:rPr>
              <w:t xml:space="preserve">There were over 650 policies (in 2010) offering a diverse range of different coverages for more than 200 different insureds within PoolRe which ceded coverage to Reserve among a total of 58 participating insurers under the quota share agreement.  </w:t>
            </w:r>
          </w:p>
          <w:p w14:paraId="0814AA76" w14:textId="77777777" w:rsidR="000A2139" w:rsidRDefault="000A2139" w:rsidP="00D52040">
            <w:pPr>
              <w:rPr>
                <w:rFonts w:ascii="Times New Roman" w:hAnsi="Times New Roman" w:cs="Times New Roman"/>
              </w:rPr>
            </w:pPr>
          </w:p>
          <w:p w14:paraId="1BDC192D" w14:textId="77777777" w:rsidR="000A2139" w:rsidRDefault="000A2139" w:rsidP="006A2640">
            <w:pPr>
              <w:rPr>
                <w:rFonts w:ascii="Times New Roman" w:hAnsi="Times New Roman" w:cs="Times New Roman"/>
              </w:rPr>
            </w:pPr>
            <w:r w:rsidRPr="0040614D">
              <w:rPr>
                <w:rFonts w:ascii="Times New Roman" w:hAnsi="Times New Roman" w:cs="Times New Roman"/>
              </w:rPr>
              <w:t xml:space="preserve">Reserve’s insurance manager obtained pricing indications for each direct written policy from an unrelated regional managing general agent (MGA), which </w:t>
            </w:r>
            <w:r>
              <w:rPr>
                <w:rFonts w:ascii="Times New Roman" w:hAnsi="Times New Roman" w:cs="Times New Roman"/>
              </w:rPr>
              <w:t xml:space="preserve">opined on </w:t>
            </w:r>
            <w:r w:rsidRPr="0040614D">
              <w:rPr>
                <w:rFonts w:ascii="Times New Roman" w:hAnsi="Times New Roman" w:cs="Times New Roman"/>
              </w:rPr>
              <w:t>the price that the MGA would charge for the policies</w:t>
            </w:r>
            <w:r>
              <w:rPr>
                <w:rFonts w:ascii="Times New Roman" w:hAnsi="Times New Roman" w:cs="Times New Roman"/>
              </w:rPr>
              <w:t xml:space="preserve">.  These pricing indications formed the basis for the pricing for each policy issued by Reserve.  All other captive participants in PoolRe received similar pricing indications from </w:t>
            </w:r>
            <w:r>
              <w:rPr>
                <w:rFonts w:ascii="Times New Roman" w:hAnsi="Times New Roman" w:cs="Times New Roman"/>
              </w:rPr>
              <w:lastRenderedPageBreak/>
              <w:t xml:space="preserve">the MGA, which formed the basis for pricing each captive’s direct written policies.  Finally, two independent </w:t>
            </w:r>
            <w:r w:rsidRPr="0040614D">
              <w:rPr>
                <w:rFonts w:ascii="Times New Roman" w:hAnsi="Times New Roman" w:cs="Times New Roman"/>
              </w:rPr>
              <w:t>actuar</w:t>
            </w:r>
            <w:r>
              <w:rPr>
                <w:rFonts w:ascii="Times New Roman" w:hAnsi="Times New Roman" w:cs="Times New Roman"/>
              </w:rPr>
              <w:t xml:space="preserve">ies </w:t>
            </w:r>
            <w:r w:rsidRPr="0040614D">
              <w:rPr>
                <w:rFonts w:ascii="Times New Roman" w:hAnsi="Times New Roman" w:cs="Times New Roman"/>
              </w:rPr>
              <w:t xml:space="preserve">testified that the pricing of each </w:t>
            </w:r>
            <w:r>
              <w:rPr>
                <w:rFonts w:ascii="Times New Roman" w:hAnsi="Times New Roman" w:cs="Times New Roman"/>
              </w:rPr>
              <w:t xml:space="preserve">of Reserve’s </w:t>
            </w:r>
            <w:r w:rsidRPr="0040614D">
              <w:rPr>
                <w:rFonts w:ascii="Times New Roman" w:hAnsi="Times New Roman" w:cs="Times New Roman"/>
              </w:rPr>
              <w:t>direct written polic</w:t>
            </w:r>
            <w:r>
              <w:rPr>
                <w:rFonts w:ascii="Times New Roman" w:hAnsi="Times New Roman" w:cs="Times New Roman"/>
              </w:rPr>
              <w:t>ies</w:t>
            </w:r>
            <w:r w:rsidRPr="0040614D">
              <w:rPr>
                <w:rFonts w:ascii="Times New Roman" w:hAnsi="Times New Roman" w:cs="Times New Roman"/>
              </w:rPr>
              <w:t xml:space="preserve"> was reasonable</w:t>
            </w:r>
            <w:r>
              <w:rPr>
                <w:rFonts w:ascii="Times New Roman" w:hAnsi="Times New Roman" w:cs="Times New Roman"/>
              </w:rPr>
              <w:t xml:space="preserve">.  </w:t>
            </w:r>
          </w:p>
          <w:p w14:paraId="65BE9AEC" w14:textId="77777777" w:rsidR="000A2139" w:rsidRDefault="000A2139" w:rsidP="006A2640">
            <w:pPr>
              <w:rPr>
                <w:rFonts w:ascii="Times New Roman" w:hAnsi="Times New Roman" w:cs="Times New Roman"/>
              </w:rPr>
            </w:pPr>
          </w:p>
          <w:p w14:paraId="5C4A339D" w14:textId="77777777" w:rsidR="000A2139" w:rsidRDefault="000A2139" w:rsidP="006A2640">
            <w:pPr>
              <w:rPr>
                <w:rFonts w:ascii="Times New Roman" w:hAnsi="Times New Roman" w:cs="Times New Roman"/>
              </w:rPr>
            </w:pPr>
            <w:r>
              <w:rPr>
                <w:rFonts w:ascii="Times New Roman" w:hAnsi="Times New Roman" w:cs="Times New Roman"/>
              </w:rPr>
              <w:t>The government offered no actuary or other expert regarding the pricing of any policy.  The government’s sole expert witness specifically said he was offering no opinion on pricing.</w:t>
            </w:r>
          </w:p>
          <w:p w14:paraId="25AAECBF" w14:textId="77777777" w:rsidR="000A2139" w:rsidRDefault="000A2139" w:rsidP="00D52040">
            <w:pPr>
              <w:rPr>
                <w:rFonts w:ascii="Times New Roman" w:hAnsi="Times New Roman" w:cs="Times New Roman"/>
              </w:rPr>
            </w:pPr>
          </w:p>
          <w:p w14:paraId="294925A4" w14:textId="77777777" w:rsidR="000A2139" w:rsidRPr="0040614D" w:rsidRDefault="000A2139" w:rsidP="00D52040">
            <w:pPr>
              <w:rPr>
                <w:rFonts w:ascii="Times New Roman" w:hAnsi="Times New Roman" w:cs="Times New Roman"/>
              </w:rPr>
            </w:pPr>
          </w:p>
        </w:tc>
      </w:tr>
      <w:tr w:rsidR="000A2139" w:rsidRPr="003737A2" w14:paraId="45F45F44" w14:textId="77777777" w:rsidTr="00CC5341">
        <w:tc>
          <w:tcPr>
            <w:tcW w:w="4680" w:type="dxa"/>
          </w:tcPr>
          <w:p w14:paraId="0BAB2029" w14:textId="77777777" w:rsidR="000A2139" w:rsidRPr="0040614D" w:rsidRDefault="000A2139" w:rsidP="00D52040">
            <w:pPr>
              <w:rPr>
                <w:rFonts w:ascii="Times New Roman" w:hAnsi="Times New Roman" w:cs="Times New Roman"/>
              </w:rPr>
            </w:pPr>
            <w:r w:rsidRPr="0040614D">
              <w:rPr>
                <w:rFonts w:ascii="Times New Roman" w:hAnsi="Times New Roman" w:cs="Times New Roman"/>
              </w:rPr>
              <w:lastRenderedPageBreak/>
              <w:t xml:space="preserve">Only one risk (terrorism risk) insured by the captive was pooled </w:t>
            </w:r>
            <w:r>
              <w:rPr>
                <w:rFonts w:ascii="Times New Roman" w:hAnsi="Times New Roman" w:cs="Times New Roman"/>
              </w:rPr>
              <w:t xml:space="preserve">and </w:t>
            </w:r>
            <w:r w:rsidRPr="0040614D">
              <w:rPr>
                <w:rFonts w:ascii="Times New Roman" w:hAnsi="Times New Roman" w:cs="Times New Roman"/>
              </w:rPr>
              <w:t>distributed via a pooling arrangement.</w:t>
            </w:r>
          </w:p>
          <w:p w14:paraId="3EFD6BA2" w14:textId="77777777" w:rsidR="000A2139" w:rsidRDefault="000A2139" w:rsidP="00D52040">
            <w:pPr>
              <w:rPr>
                <w:rFonts w:ascii="Times New Roman" w:hAnsi="Times New Roman" w:cs="Times New Roman"/>
              </w:rPr>
            </w:pPr>
          </w:p>
          <w:p w14:paraId="1B16FC2C" w14:textId="77777777" w:rsidR="000A2139" w:rsidRDefault="000A2139" w:rsidP="00D52040">
            <w:pPr>
              <w:rPr>
                <w:rFonts w:ascii="Times New Roman" w:hAnsi="Times New Roman" w:cs="Times New Roman"/>
              </w:rPr>
            </w:pPr>
          </w:p>
          <w:p w14:paraId="5BD4E10D" w14:textId="77777777" w:rsidR="000A2139" w:rsidRDefault="000A2139" w:rsidP="00D52040">
            <w:pPr>
              <w:rPr>
                <w:rFonts w:ascii="Times New Roman" w:hAnsi="Times New Roman" w:cs="Times New Roman"/>
              </w:rPr>
            </w:pPr>
          </w:p>
          <w:p w14:paraId="10CA8AFD" w14:textId="77777777" w:rsidR="000A2139" w:rsidRPr="0040614D" w:rsidRDefault="000A2139" w:rsidP="00D52040">
            <w:pPr>
              <w:rPr>
                <w:rFonts w:ascii="Times New Roman" w:hAnsi="Times New Roman" w:cs="Times New Roman"/>
              </w:rPr>
            </w:pPr>
          </w:p>
        </w:tc>
        <w:tc>
          <w:tcPr>
            <w:tcW w:w="4765" w:type="dxa"/>
          </w:tcPr>
          <w:p w14:paraId="4542C887" w14:textId="77777777" w:rsidR="000A2139" w:rsidRDefault="000A2139" w:rsidP="00D52040">
            <w:pPr>
              <w:rPr>
                <w:rFonts w:ascii="Times New Roman" w:hAnsi="Times New Roman" w:cs="Times New Roman"/>
              </w:rPr>
            </w:pPr>
            <w:r>
              <w:rPr>
                <w:rFonts w:ascii="Times New Roman" w:hAnsi="Times New Roman" w:cs="Times New Roman"/>
              </w:rPr>
              <w:t xml:space="preserve">Reserve assumed risks on 650+ </w:t>
            </w:r>
            <w:r w:rsidRPr="0040614D">
              <w:rPr>
                <w:rFonts w:ascii="Times New Roman" w:hAnsi="Times New Roman" w:cs="Times New Roman"/>
              </w:rPr>
              <w:t>polic</w:t>
            </w:r>
            <w:r>
              <w:rPr>
                <w:rFonts w:ascii="Times New Roman" w:hAnsi="Times New Roman" w:cs="Times New Roman"/>
              </w:rPr>
              <w:t xml:space="preserve">ies from 200+ insureds </w:t>
            </w:r>
            <w:r w:rsidRPr="0040614D">
              <w:rPr>
                <w:rFonts w:ascii="Times New Roman" w:hAnsi="Times New Roman" w:cs="Times New Roman"/>
              </w:rPr>
              <w:t xml:space="preserve">pooled or </w:t>
            </w:r>
            <w:r>
              <w:rPr>
                <w:rFonts w:ascii="Times New Roman" w:hAnsi="Times New Roman" w:cs="Times New Roman"/>
              </w:rPr>
              <w:t xml:space="preserve">blended </w:t>
            </w:r>
            <w:r w:rsidRPr="0040614D">
              <w:rPr>
                <w:rFonts w:ascii="Times New Roman" w:hAnsi="Times New Roman" w:cs="Times New Roman"/>
              </w:rPr>
              <w:t>via the PoolRe pooling arrangement</w:t>
            </w:r>
            <w:r>
              <w:rPr>
                <w:rStyle w:val="EndnoteReference"/>
                <w:rFonts w:ascii="Times New Roman" w:hAnsi="Times New Roman" w:cs="Times New Roman"/>
              </w:rPr>
              <w:endnoteReference w:id="72"/>
            </w:r>
            <w:r>
              <w:rPr>
                <w:rFonts w:ascii="Times New Roman" w:hAnsi="Times New Roman" w:cs="Times New Roman"/>
              </w:rPr>
              <w:t xml:space="preserve"> along with Reserve assuming additional insurance risks from a public-held insurance company (Lyndon) under a ceding or retrocession arrangement.</w:t>
            </w:r>
          </w:p>
          <w:p w14:paraId="2E13BADC" w14:textId="77777777" w:rsidR="000A2139" w:rsidRPr="0040614D" w:rsidRDefault="000A2139" w:rsidP="00D52040">
            <w:pPr>
              <w:rPr>
                <w:rFonts w:ascii="Times New Roman" w:hAnsi="Times New Roman" w:cs="Times New Roman"/>
              </w:rPr>
            </w:pPr>
          </w:p>
        </w:tc>
      </w:tr>
      <w:tr w:rsidR="000A2139" w:rsidRPr="003737A2" w14:paraId="36F20E23" w14:textId="77777777" w:rsidTr="00CC5341">
        <w:tc>
          <w:tcPr>
            <w:tcW w:w="4680" w:type="dxa"/>
          </w:tcPr>
          <w:p w14:paraId="4AF78945" w14:textId="77777777" w:rsidR="000A2139" w:rsidRDefault="000A2139" w:rsidP="00D52040">
            <w:pPr>
              <w:rPr>
                <w:rFonts w:ascii="Times New Roman" w:hAnsi="Times New Roman" w:cs="Times New Roman"/>
              </w:rPr>
            </w:pPr>
            <w:r w:rsidRPr="0040614D">
              <w:rPr>
                <w:rFonts w:ascii="Times New Roman" w:hAnsi="Times New Roman" w:cs="Times New Roman"/>
              </w:rPr>
              <w:t>The terrorism policy issued by the pool was “grossly overpriced” and was redundant with commercial coverages.</w:t>
            </w:r>
          </w:p>
          <w:p w14:paraId="155A068B" w14:textId="77777777" w:rsidR="000A2139" w:rsidRDefault="000A2139" w:rsidP="00D52040">
            <w:pPr>
              <w:rPr>
                <w:rFonts w:ascii="Times New Roman" w:hAnsi="Times New Roman" w:cs="Times New Roman"/>
              </w:rPr>
            </w:pPr>
          </w:p>
          <w:p w14:paraId="39B9BA3E" w14:textId="77777777" w:rsidR="000A2139" w:rsidRPr="0040614D" w:rsidRDefault="000A2139" w:rsidP="00D52040">
            <w:pPr>
              <w:rPr>
                <w:rFonts w:ascii="Times New Roman" w:hAnsi="Times New Roman" w:cs="Times New Roman"/>
              </w:rPr>
            </w:pPr>
            <w:r>
              <w:rPr>
                <w:rFonts w:ascii="Times New Roman" w:hAnsi="Times New Roman" w:cs="Times New Roman"/>
              </w:rPr>
              <w:t xml:space="preserve">The court </w:t>
            </w:r>
            <w:r w:rsidRPr="008E173D">
              <w:rPr>
                <w:rFonts w:ascii="Times New Roman" w:hAnsi="Times New Roman" w:cs="Times New Roman"/>
              </w:rPr>
              <w:t>noted the duplicative nature of the single pooled terrorism policy</w:t>
            </w:r>
            <w:r>
              <w:rPr>
                <w:rFonts w:ascii="Times New Roman" w:hAnsi="Times New Roman" w:cs="Times New Roman"/>
              </w:rPr>
              <w:t>, which had a target premium of</w:t>
            </w:r>
            <w:r w:rsidRPr="008E173D">
              <w:rPr>
                <w:rFonts w:ascii="Times New Roman" w:hAnsi="Times New Roman" w:cs="Times New Roman"/>
              </w:rPr>
              <w:t xml:space="preserve"> $360,000</w:t>
            </w:r>
            <w:r>
              <w:rPr>
                <w:rFonts w:ascii="Times New Roman" w:hAnsi="Times New Roman" w:cs="Times New Roman"/>
              </w:rPr>
              <w:t xml:space="preserve"> calculated at exactly 30% of the $1.2 million “premium ceiling” under </w:t>
            </w:r>
            <w:r w:rsidRPr="00682CD4">
              <w:rPr>
                <w:rFonts w:ascii="Times New Roman" w:hAnsi="Times New Roman" w:cs="Times New Roman"/>
              </w:rPr>
              <w:t>§831(b)</w:t>
            </w:r>
            <w:r>
              <w:rPr>
                <w:rFonts w:ascii="Times New Roman" w:hAnsi="Times New Roman" w:cs="Times New Roman"/>
              </w:rPr>
              <w:t xml:space="preserve">, </w:t>
            </w:r>
            <w:r w:rsidRPr="008E173D">
              <w:rPr>
                <w:rFonts w:ascii="Times New Roman" w:hAnsi="Times New Roman" w:cs="Times New Roman"/>
              </w:rPr>
              <w:t xml:space="preserve">with </w:t>
            </w:r>
            <w:r>
              <w:rPr>
                <w:rFonts w:ascii="Times New Roman" w:hAnsi="Times New Roman" w:cs="Times New Roman"/>
              </w:rPr>
              <w:t>the duplicative</w:t>
            </w:r>
            <w:r w:rsidRPr="008E173D">
              <w:rPr>
                <w:rFonts w:ascii="Times New Roman" w:hAnsi="Times New Roman" w:cs="Times New Roman"/>
              </w:rPr>
              <w:t xml:space="preserve"> commercial insurance policy for terrorism in place </w:t>
            </w:r>
            <w:r>
              <w:rPr>
                <w:rFonts w:ascii="Times New Roman" w:hAnsi="Times New Roman" w:cs="Times New Roman"/>
              </w:rPr>
              <w:t>that has a premium</w:t>
            </w:r>
            <w:r w:rsidRPr="008E173D">
              <w:rPr>
                <w:rFonts w:ascii="Times New Roman" w:hAnsi="Times New Roman" w:cs="Times New Roman"/>
              </w:rPr>
              <w:t xml:space="preserve"> </w:t>
            </w:r>
            <w:r>
              <w:rPr>
                <w:rFonts w:ascii="Times New Roman" w:hAnsi="Times New Roman" w:cs="Times New Roman"/>
              </w:rPr>
              <w:t xml:space="preserve">of only </w:t>
            </w:r>
            <w:r w:rsidRPr="008E173D">
              <w:rPr>
                <w:rFonts w:ascii="Times New Roman" w:hAnsi="Times New Roman" w:cs="Times New Roman"/>
              </w:rPr>
              <w:t>$1,500.</w:t>
            </w:r>
          </w:p>
        </w:tc>
        <w:tc>
          <w:tcPr>
            <w:tcW w:w="4765" w:type="dxa"/>
          </w:tcPr>
          <w:p w14:paraId="252ABBC2" w14:textId="77777777" w:rsidR="000A2139" w:rsidRDefault="000A2139" w:rsidP="007B21B4">
            <w:pPr>
              <w:rPr>
                <w:rFonts w:ascii="Times New Roman" w:hAnsi="Times New Roman" w:cs="Times New Roman"/>
              </w:rPr>
            </w:pPr>
            <w:r>
              <w:rPr>
                <w:rFonts w:ascii="Times New Roman" w:hAnsi="Times New Roman" w:cs="Times New Roman"/>
              </w:rPr>
              <w:t xml:space="preserve">The government never offered any challenge to the premium pricing.  Further, the </w:t>
            </w:r>
            <w:r w:rsidRPr="00CD7047">
              <w:rPr>
                <w:rFonts w:ascii="Times New Roman" w:hAnsi="Times New Roman" w:cs="Times New Roman"/>
                <w:i/>
              </w:rPr>
              <w:t>Reserve</w:t>
            </w:r>
            <w:r>
              <w:rPr>
                <w:rFonts w:ascii="Times New Roman" w:hAnsi="Times New Roman" w:cs="Times New Roman"/>
              </w:rPr>
              <w:t xml:space="preserve"> Court conceded the appropriateness of the premium pricing finding that “</w:t>
            </w:r>
            <w:r w:rsidRPr="007B21B4">
              <w:rPr>
                <w:rFonts w:ascii="Times New Roman" w:hAnsi="Times New Roman" w:cs="Times New Roman"/>
              </w:rPr>
              <w:t>Capstone calculated Reserve</w:t>
            </w:r>
            <w:r>
              <w:rPr>
                <w:rFonts w:ascii="Times New Roman" w:hAnsi="Times New Roman" w:cs="Times New Roman"/>
              </w:rPr>
              <w:t>’</w:t>
            </w:r>
            <w:r w:rsidRPr="007B21B4">
              <w:rPr>
                <w:rFonts w:ascii="Times New Roman" w:hAnsi="Times New Roman" w:cs="Times New Roman"/>
              </w:rPr>
              <w:t>s</w:t>
            </w:r>
            <w:r>
              <w:rPr>
                <w:rFonts w:ascii="Times New Roman" w:hAnsi="Times New Roman" w:cs="Times New Roman"/>
              </w:rPr>
              <w:t xml:space="preserve"> </w:t>
            </w:r>
            <w:r w:rsidRPr="007B21B4">
              <w:rPr>
                <w:rFonts w:ascii="Times New Roman" w:hAnsi="Times New Roman" w:cs="Times New Roman"/>
              </w:rPr>
              <w:t>premiums using objective criteria and what appear to be actuarial methods</w:t>
            </w:r>
            <w:r>
              <w:rPr>
                <w:rFonts w:ascii="Times New Roman" w:hAnsi="Times New Roman" w:cs="Times New Roman"/>
              </w:rPr>
              <w:t>.”</w:t>
            </w:r>
            <w:r>
              <w:rPr>
                <w:rStyle w:val="EndnoteReference"/>
                <w:rFonts w:ascii="Times New Roman" w:hAnsi="Times New Roman" w:cs="Times New Roman"/>
              </w:rPr>
              <w:endnoteReference w:id="73"/>
            </w:r>
          </w:p>
          <w:p w14:paraId="7371D625" w14:textId="77777777" w:rsidR="000A2139" w:rsidRDefault="000A2139" w:rsidP="00D52040">
            <w:pPr>
              <w:rPr>
                <w:rFonts w:ascii="Times New Roman" w:hAnsi="Times New Roman" w:cs="Times New Roman"/>
              </w:rPr>
            </w:pPr>
          </w:p>
          <w:p w14:paraId="71312D05" w14:textId="7254F708" w:rsidR="000A2139" w:rsidRDefault="000A2139" w:rsidP="00D52040">
            <w:pPr>
              <w:rPr>
                <w:rFonts w:ascii="Times New Roman" w:hAnsi="Times New Roman" w:cs="Times New Roman"/>
              </w:rPr>
            </w:pPr>
            <w:r w:rsidRPr="0040614D">
              <w:rPr>
                <w:rFonts w:ascii="Times New Roman" w:hAnsi="Times New Roman" w:cs="Times New Roman"/>
              </w:rPr>
              <w:t>None of the direct written polic</w:t>
            </w:r>
            <w:r>
              <w:rPr>
                <w:rFonts w:ascii="Times New Roman" w:hAnsi="Times New Roman" w:cs="Times New Roman"/>
              </w:rPr>
              <w:t>i</w:t>
            </w:r>
            <w:r w:rsidRPr="0040614D">
              <w:rPr>
                <w:rFonts w:ascii="Times New Roman" w:hAnsi="Times New Roman" w:cs="Times New Roman"/>
              </w:rPr>
              <w:t>es issued by Reserve were duplicative of any of the insureds’ commercial policies</w:t>
            </w:r>
            <w:r>
              <w:rPr>
                <w:rFonts w:ascii="Times New Roman" w:hAnsi="Times New Roman" w:cs="Times New Roman"/>
              </w:rPr>
              <w:t xml:space="preserve"> (although the Court erroneously concluded otherwise).</w:t>
            </w:r>
            <w:r>
              <w:rPr>
                <w:rStyle w:val="EndnoteReference"/>
                <w:rFonts w:ascii="Times New Roman" w:hAnsi="Times New Roman" w:cs="Times New Roman"/>
              </w:rPr>
              <w:endnoteReference w:id="74"/>
            </w:r>
            <w:r>
              <w:rPr>
                <w:rFonts w:ascii="Times New Roman" w:hAnsi="Times New Roman" w:cs="Times New Roman"/>
              </w:rPr>
              <w:t xml:space="preserve">  A</w:t>
            </w:r>
            <w:r w:rsidRPr="0040614D">
              <w:rPr>
                <w:rFonts w:ascii="Times New Roman" w:hAnsi="Times New Roman" w:cs="Times New Roman"/>
              </w:rPr>
              <w:t>ctuarial testimony provided</w:t>
            </w:r>
            <w:r>
              <w:rPr>
                <w:rFonts w:ascii="Times New Roman" w:hAnsi="Times New Roman" w:cs="Times New Roman"/>
              </w:rPr>
              <w:t xml:space="preserve"> </w:t>
            </w:r>
            <w:r w:rsidRPr="0040614D">
              <w:rPr>
                <w:rFonts w:ascii="Times New Roman" w:hAnsi="Times New Roman" w:cs="Times New Roman"/>
              </w:rPr>
              <w:t>support that each direct written policy was reasonably priced</w:t>
            </w:r>
            <w:r>
              <w:rPr>
                <w:rFonts w:ascii="Times New Roman" w:hAnsi="Times New Roman" w:cs="Times New Roman"/>
              </w:rPr>
              <w:t>, with the government offering no contrary evidence</w:t>
            </w:r>
            <w:r w:rsidRPr="0040614D">
              <w:rPr>
                <w:rFonts w:ascii="Times New Roman" w:hAnsi="Times New Roman" w:cs="Times New Roman"/>
              </w:rPr>
              <w:t>.</w:t>
            </w:r>
          </w:p>
          <w:p w14:paraId="06990218" w14:textId="77777777" w:rsidR="000A2139" w:rsidRPr="0040614D" w:rsidRDefault="000A2139" w:rsidP="00D52040">
            <w:pPr>
              <w:rPr>
                <w:rFonts w:ascii="Times New Roman" w:hAnsi="Times New Roman" w:cs="Times New Roman"/>
              </w:rPr>
            </w:pPr>
          </w:p>
        </w:tc>
      </w:tr>
      <w:tr w:rsidR="000A2139" w:rsidRPr="003737A2" w14:paraId="2A458894" w14:textId="77777777" w:rsidTr="00CC5341">
        <w:tc>
          <w:tcPr>
            <w:tcW w:w="4680" w:type="dxa"/>
          </w:tcPr>
          <w:p w14:paraId="7F153020" w14:textId="77777777" w:rsidR="000A2139" w:rsidRDefault="000A2139" w:rsidP="00D52040">
            <w:pPr>
              <w:rPr>
                <w:rFonts w:ascii="Times New Roman" w:hAnsi="Times New Roman" w:cs="Times New Roman"/>
              </w:rPr>
            </w:pPr>
            <w:r w:rsidRPr="0040614D">
              <w:rPr>
                <w:rFonts w:ascii="Times New Roman" w:hAnsi="Times New Roman" w:cs="Times New Roman"/>
              </w:rPr>
              <w:t xml:space="preserve">Approximately 65 percent of the captive’s assets were loaned on an unsecured basis to an entity owned by the Avrahamis’ children, with the loaned funds </w:t>
            </w:r>
            <w:r>
              <w:rPr>
                <w:rFonts w:ascii="Times New Roman" w:hAnsi="Times New Roman" w:cs="Times New Roman"/>
              </w:rPr>
              <w:t xml:space="preserve">then </w:t>
            </w:r>
            <w:r w:rsidRPr="0040614D">
              <w:rPr>
                <w:rFonts w:ascii="Times New Roman" w:hAnsi="Times New Roman" w:cs="Times New Roman"/>
              </w:rPr>
              <w:t>being immediately transferred to the</w:t>
            </w:r>
            <w:r>
              <w:rPr>
                <w:rFonts w:ascii="Times New Roman" w:hAnsi="Times New Roman" w:cs="Times New Roman"/>
              </w:rPr>
              <w:t xml:space="preserve">ir parents’ (that is, the </w:t>
            </w:r>
            <w:r w:rsidRPr="0040614D">
              <w:rPr>
                <w:rFonts w:ascii="Times New Roman" w:hAnsi="Times New Roman" w:cs="Times New Roman"/>
              </w:rPr>
              <w:t>Avrahamis</w:t>
            </w:r>
            <w:r>
              <w:rPr>
                <w:rFonts w:ascii="Times New Roman" w:hAnsi="Times New Roman" w:cs="Times New Roman"/>
              </w:rPr>
              <w:t>’)</w:t>
            </w:r>
            <w:r w:rsidRPr="0040614D">
              <w:rPr>
                <w:rFonts w:ascii="Times New Roman" w:hAnsi="Times New Roman" w:cs="Times New Roman"/>
              </w:rPr>
              <w:t xml:space="preserve"> personal account.</w:t>
            </w:r>
          </w:p>
          <w:p w14:paraId="6AE42C8A" w14:textId="77777777" w:rsidR="000A2139" w:rsidRPr="0040614D" w:rsidRDefault="000A2139" w:rsidP="00D52040">
            <w:pPr>
              <w:rPr>
                <w:rFonts w:ascii="Times New Roman" w:hAnsi="Times New Roman" w:cs="Times New Roman"/>
              </w:rPr>
            </w:pPr>
          </w:p>
        </w:tc>
        <w:tc>
          <w:tcPr>
            <w:tcW w:w="4765" w:type="dxa"/>
          </w:tcPr>
          <w:p w14:paraId="4E8DA025" w14:textId="77777777" w:rsidR="000A2139" w:rsidRPr="0040614D" w:rsidRDefault="000A2139" w:rsidP="00D52040">
            <w:pPr>
              <w:rPr>
                <w:rFonts w:ascii="Times New Roman" w:hAnsi="Times New Roman" w:cs="Times New Roman"/>
              </w:rPr>
            </w:pPr>
            <w:r>
              <w:rPr>
                <w:rFonts w:ascii="Times New Roman" w:hAnsi="Times New Roman" w:cs="Times New Roman"/>
              </w:rPr>
              <w:t xml:space="preserve">Reserve made no </w:t>
            </w:r>
            <w:r w:rsidRPr="0040614D">
              <w:rPr>
                <w:rFonts w:ascii="Times New Roman" w:hAnsi="Times New Roman" w:cs="Times New Roman"/>
              </w:rPr>
              <w:t>loans</w:t>
            </w:r>
            <w:r>
              <w:rPr>
                <w:rFonts w:ascii="Times New Roman" w:hAnsi="Times New Roman" w:cs="Times New Roman"/>
              </w:rPr>
              <w:t>.  All investments were bank deposits and publicly held securities.</w:t>
            </w:r>
          </w:p>
        </w:tc>
      </w:tr>
      <w:tr w:rsidR="000A2139" w:rsidRPr="003737A2" w14:paraId="7B124DBF" w14:textId="77777777" w:rsidTr="00CC5341">
        <w:tc>
          <w:tcPr>
            <w:tcW w:w="4680" w:type="dxa"/>
          </w:tcPr>
          <w:p w14:paraId="48956723" w14:textId="77777777" w:rsidR="000A2139" w:rsidRPr="0040614D" w:rsidRDefault="000A2139" w:rsidP="00D52040">
            <w:pPr>
              <w:rPr>
                <w:rFonts w:ascii="Times New Roman" w:hAnsi="Times New Roman" w:cs="Times New Roman"/>
              </w:rPr>
            </w:pPr>
            <w:r w:rsidRPr="0040614D">
              <w:rPr>
                <w:rFonts w:ascii="Times New Roman" w:hAnsi="Times New Roman" w:cs="Times New Roman"/>
              </w:rPr>
              <w:t xml:space="preserve">The Pan American pool was thinly capitalized with limited liquidity such that the pool did not have the financial wherewithal to pay losses for a covered terrorism event.  </w:t>
            </w:r>
            <w:r>
              <w:rPr>
                <w:rFonts w:ascii="Times New Roman" w:hAnsi="Times New Roman" w:cs="Times New Roman"/>
              </w:rPr>
              <w:t>The p</w:t>
            </w:r>
            <w:r w:rsidRPr="0040614D">
              <w:rPr>
                <w:rFonts w:ascii="Times New Roman" w:hAnsi="Times New Roman" w:cs="Times New Roman"/>
              </w:rPr>
              <w:t xml:space="preserve">ool </w:t>
            </w:r>
            <w:r>
              <w:rPr>
                <w:rFonts w:ascii="Times New Roman" w:hAnsi="Times New Roman" w:cs="Times New Roman"/>
              </w:rPr>
              <w:t>retained only 2</w:t>
            </w:r>
            <w:r w:rsidRPr="0040614D">
              <w:rPr>
                <w:rFonts w:ascii="Times New Roman" w:hAnsi="Times New Roman" w:cs="Times New Roman"/>
              </w:rPr>
              <w:t xml:space="preserve">.5% of premiums </w:t>
            </w:r>
            <w:r>
              <w:rPr>
                <w:rFonts w:ascii="Times New Roman" w:hAnsi="Times New Roman" w:cs="Times New Roman"/>
              </w:rPr>
              <w:t xml:space="preserve">received even though there was still </w:t>
            </w:r>
            <w:r w:rsidRPr="0040614D">
              <w:rPr>
                <w:rFonts w:ascii="Times New Roman" w:hAnsi="Times New Roman" w:cs="Times New Roman"/>
              </w:rPr>
              <w:t xml:space="preserve">6 months </w:t>
            </w:r>
            <w:r>
              <w:rPr>
                <w:rFonts w:ascii="Times New Roman" w:hAnsi="Times New Roman" w:cs="Times New Roman"/>
              </w:rPr>
              <w:t xml:space="preserve">remaining until the end of the </w:t>
            </w:r>
            <w:r>
              <w:rPr>
                <w:rFonts w:ascii="Times New Roman" w:hAnsi="Times New Roman" w:cs="Times New Roman"/>
              </w:rPr>
              <w:lastRenderedPageBreak/>
              <w:t>policy period with respect to the terrorism coverage.</w:t>
            </w:r>
          </w:p>
          <w:p w14:paraId="26A28D99" w14:textId="77777777" w:rsidR="000A2139" w:rsidRPr="0040614D" w:rsidRDefault="000A2139" w:rsidP="00D52040">
            <w:pPr>
              <w:rPr>
                <w:rFonts w:ascii="Times New Roman" w:hAnsi="Times New Roman" w:cs="Times New Roman"/>
              </w:rPr>
            </w:pPr>
          </w:p>
        </w:tc>
        <w:tc>
          <w:tcPr>
            <w:tcW w:w="4765" w:type="dxa"/>
          </w:tcPr>
          <w:p w14:paraId="451EDEEE" w14:textId="51EB2D90" w:rsidR="000A2139" w:rsidRDefault="000A2139" w:rsidP="00D52040">
            <w:pPr>
              <w:rPr>
                <w:rFonts w:ascii="Times New Roman" w:hAnsi="Times New Roman" w:cs="Times New Roman"/>
              </w:rPr>
            </w:pPr>
            <w:r>
              <w:rPr>
                <w:rFonts w:ascii="Times New Roman" w:hAnsi="Times New Roman" w:cs="Times New Roman"/>
              </w:rPr>
              <w:lastRenderedPageBreak/>
              <w:t xml:space="preserve">PoolRe was not before the Court.  The government offered no evidence on the bona fides of the pooling arrangement, which was raised </w:t>
            </w:r>
            <w:r w:rsidRPr="007C00B6">
              <w:rPr>
                <w:rFonts w:ascii="Times New Roman" w:hAnsi="Times New Roman" w:cs="Times New Roman"/>
                <w:i/>
              </w:rPr>
              <w:t>sua sponte</w:t>
            </w:r>
            <w:r>
              <w:rPr>
                <w:rFonts w:ascii="Times New Roman" w:hAnsi="Times New Roman" w:cs="Times New Roman"/>
              </w:rPr>
              <w:t xml:space="preserve"> by </w:t>
            </w:r>
            <w:r w:rsidRPr="000631F5">
              <w:rPr>
                <w:rFonts w:ascii="Times New Roman" w:hAnsi="Times New Roman" w:cs="Times New Roman"/>
              </w:rPr>
              <w:t>the Court.  The Court tried an issue which was not contested.</w:t>
            </w:r>
            <w:r>
              <w:rPr>
                <w:rFonts w:ascii="Times New Roman" w:hAnsi="Times New Roman" w:cs="Times New Roman"/>
              </w:rPr>
              <w:t xml:space="preserve">  </w:t>
            </w:r>
          </w:p>
          <w:p w14:paraId="4C5B1AB7" w14:textId="77777777" w:rsidR="000A2139" w:rsidRDefault="000A2139" w:rsidP="00D52040">
            <w:pPr>
              <w:rPr>
                <w:rFonts w:ascii="Times New Roman" w:hAnsi="Times New Roman" w:cs="Times New Roman"/>
              </w:rPr>
            </w:pPr>
          </w:p>
          <w:p w14:paraId="5E1CB88B" w14:textId="7A4F1B7A" w:rsidR="000A2139" w:rsidRDefault="000A2139" w:rsidP="00D52040">
            <w:pPr>
              <w:rPr>
                <w:rFonts w:ascii="Times New Roman" w:hAnsi="Times New Roman" w:cs="Times New Roman"/>
              </w:rPr>
            </w:pPr>
            <w:r>
              <w:rPr>
                <w:rFonts w:ascii="Times New Roman" w:hAnsi="Times New Roman" w:cs="Times New Roman"/>
              </w:rPr>
              <w:lastRenderedPageBreak/>
              <w:t xml:space="preserve">The testimony and evidence established that </w:t>
            </w:r>
            <w:r w:rsidRPr="0040614D">
              <w:rPr>
                <w:rFonts w:ascii="Times New Roman" w:hAnsi="Times New Roman" w:cs="Times New Roman"/>
              </w:rPr>
              <w:t xml:space="preserve">PoolRe </w:t>
            </w:r>
            <w:r>
              <w:rPr>
                <w:rFonts w:ascii="Times New Roman" w:hAnsi="Times New Roman" w:cs="Times New Roman"/>
              </w:rPr>
              <w:t xml:space="preserve">had ample liquidity measured in millions for losses.  The </w:t>
            </w:r>
            <w:r w:rsidRPr="0040614D">
              <w:rPr>
                <w:rFonts w:ascii="Times New Roman" w:hAnsi="Times New Roman" w:cs="Times New Roman"/>
              </w:rPr>
              <w:t xml:space="preserve">pool </w:t>
            </w:r>
            <w:r>
              <w:rPr>
                <w:rFonts w:ascii="Times New Roman" w:hAnsi="Times New Roman" w:cs="Times New Roman"/>
              </w:rPr>
              <w:t>retained</w:t>
            </w:r>
            <w:r w:rsidRPr="0040614D">
              <w:rPr>
                <w:rFonts w:ascii="Times New Roman" w:hAnsi="Times New Roman" w:cs="Times New Roman"/>
              </w:rPr>
              <w:t xml:space="preserve"> millions </w:t>
            </w:r>
            <w:r>
              <w:rPr>
                <w:rFonts w:ascii="Times New Roman" w:hAnsi="Times New Roman" w:cs="Times New Roman"/>
              </w:rPr>
              <w:t xml:space="preserve">of dollars </w:t>
            </w:r>
            <w:r w:rsidRPr="0040614D">
              <w:rPr>
                <w:rFonts w:ascii="Times New Roman" w:hAnsi="Times New Roman" w:cs="Times New Roman"/>
              </w:rPr>
              <w:t>to</w:t>
            </w:r>
            <w:r>
              <w:rPr>
                <w:rFonts w:ascii="Times New Roman" w:hAnsi="Times New Roman" w:cs="Times New Roman"/>
              </w:rPr>
              <w:t xml:space="preserve"> fund</w:t>
            </w:r>
            <w:r w:rsidRPr="0040614D">
              <w:rPr>
                <w:rFonts w:ascii="Times New Roman" w:hAnsi="Times New Roman" w:cs="Times New Roman"/>
              </w:rPr>
              <w:t xml:space="preserve"> pay</w:t>
            </w:r>
            <w:r>
              <w:rPr>
                <w:rFonts w:ascii="Times New Roman" w:hAnsi="Times New Roman" w:cs="Times New Roman"/>
              </w:rPr>
              <w:t>ment of</w:t>
            </w:r>
            <w:r w:rsidRPr="0040614D">
              <w:rPr>
                <w:rFonts w:ascii="Times New Roman" w:hAnsi="Times New Roman" w:cs="Times New Roman"/>
              </w:rPr>
              <w:t xml:space="preserve"> losses for any covered claim </w:t>
            </w:r>
            <w:r w:rsidRPr="00DB116B">
              <w:rPr>
                <w:rFonts w:ascii="Times New Roman" w:hAnsi="Times New Roman" w:cs="Times New Roman"/>
              </w:rPr>
              <w:t xml:space="preserve">under the stop loss endorsements.  </w:t>
            </w:r>
            <w:r>
              <w:rPr>
                <w:rFonts w:ascii="Times New Roman" w:hAnsi="Times New Roman" w:cs="Times New Roman"/>
              </w:rPr>
              <w:t xml:space="preserve">For example, in 2010, </w:t>
            </w:r>
            <w:r w:rsidRPr="00DB116B">
              <w:rPr>
                <w:rFonts w:ascii="Times New Roman" w:hAnsi="Times New Roman" w:cs="Times New Roman"/>
              </w:rPr>
              <w:t xml:space="preserve">PoolRe retained </w:t>
            </w:r>
            <w:r>
              <w:rPr>
                <w:rFonts w:ascii="Times New Roman" w:hAnsi="Times New Roman" w:cs="Times New Roman"/>
              </w:rPr>
              <w:t xml:space="preserve">25% </w:t>
            </w:r>
            <w:r w:rsidRPr="00DB116B">
              <w:rPr>
                <w:rFonts w:ascii="Times New Roman" w:hAnsi="Times New Roman" w:cs="Times New Roman"/>
              </w:rPr>
              <w:t xml:space="preserve">of </w:t>
            </w:r>
            <w:r>
              <w:rPr>
                <w:rFonts w:ascii="Times New Roman" w:hAnsi="Times New Roman" w:cs="Times New Roman"/>
              </w:rPr>
              <w:t xml:space="preserve">the total </w:t>
            </w:r>
            <w:r w:rsidRPr="00DB116B">
              <w:rPr>
                <w:rFonts w:ascii="Times New Roman" w:hAnsi="Times New Roman" w:cs="Times New Roman"/>
              </w:rPr>
              <w:t>premiums</w:t>
            </w:r>
            <w:r>
              <w:rPr>
                <w:rFonts w:ascii="Times New Roman" w:hAnsi="Times New Roman" w:cs="Times New Roman"/>
              </w:rPr>
              <w:t xml:space="preserve"> that it received from insureds </w:t>
            </w:r>
            <w:r w:rsidRPr="00DB116B">
              <w:rPr>
                <w:rFonts w:ascii="Times New Roman" w:hAnsi="Times New Roman" w:cs="Times New Roman"/>
              </w:rPr>
              <w:t xml:space="preserve">until </w:t>
            </w:r>
            <w:r>
              <w:rPr>
                <w:rFonts w:ascii="Times New Roman" w:hAnsi="Times New Roman" w:cs="Times New Roman"/>
              </w:rPr>
              <w:t xml:space="preserve">a final accounting, settlement and termination of the risk pool occurred more than </w:t>
            </w:r>
            <w:r w:rsidRPr="00DB116B">
              <w:rPr>
                <w:rFonts w:ascii="Times New Roman" w:hAnsi="Times New Roman" w:cs="Times New Roman"/>
              </w:rPr>
              <w:t>180 days after the end of the</w:t>
            </w:r>
            <w:r w:rsidRPr="0040614D">
              <w:rPr>
                <w:rFonts w:ascii="Times New Roman" w:hAnsi="Times New Roman" w:cs="Times New Roman"/>
              </w:rPr>
              <w:t xml:space="preserve"> </w:t>
            </w:r>
            <w:r>
              <w:rPr>
                <w:rFonts w:ascii="Times New Roman" w:hAnsi="Times New Roman" w:cs="Times New Roman"/>
              </w:rPr>
              <w:t xml:space="preserve">one year </w:t>
            </w:r>
            <w:r w:rsidRPr="0040614D">
              <w:rPr>
                <w:rFonts w:ascii="Times New Roman" w:hAnsi="Times New Roman" w:cs="Times New Roman"/>
              </w:rPr>
              <w:t>policy period</w:t>
            </w:r>
            <w:r>
              <w:rPr>
                <w:rFonts w:ascii="Times New Roman" w:hAnsi="Times New Roman" w:cs="Times New Roman"/>
              </w:rPr>
              <w:t xml:space="preserve"> (at least 18 months after policy inception)</w:t>
            </w:r>
            <w:r w:rsidRPr="0040614D">
              <w:rPr>
                <w:rFonts w:ascii="Times New Roman" w:hAnsi="Times New Roman" w:cs="Times New Roman"/>
              </w:rPr>
              <w:t xml:space="preserve">, with retained premiums being returned to participating captives </w:t>
            </w:r>
            <w:r>
              <w:rPr>
                <w:rFonts w:ascii="Times New Roman" w:hAnsi="Times New Roman" w:cs="Times New Roman"/>
              </w:rPr>
              <w:t xml:space="preserve">only </w:t>
            </w:r>
            <w:r w:rsidRPr="0040614D">
              <w:rPr>
                <w:rFonts w:ascii="Times New Roman" w:hAnsi="Times New Roman" w:cs="Times New Roman"/>
              </w:rPr>
              <w:t>after the extended reporting period had lapsed</w:t>
            </w:r>
            <w:r>
              <w:rPr>
                <w:rFonts w:ascii="Times New Roman" w:hAnsi="Times New Roman" w:cs="Times New Roman"/>
              </w:rPr>
              <w:t xml:space="preserve"> and all claims had been settled.</w:t>
            </w:r>
            <w:r>
              <w:rPr>
                <w:rStyle w:val="EndnoteReference"/>
                <w:rFonts w:ascii="Times New Roman" w:hAnsi="Times New Roman" w:cs="Times New Roman"/>
              </w:rPr>
              <w:endnoteReference w:id="75"/>
            </w:r>
          </w:p>
          <w:p w14:paraId="0EE09314" w14:textId="77777777" w:rsidR="000A2139" w:rsidRDefault="000A2139" w:rsidP="00D52040">
            <w:pPr>
              <w:rPr>
                <w:rFonts w:ascii="Times New Roman" w:hAnsi="Times New Roman" w:cs="Times New Roman"/>
              </w:rPr>
            </w:pPr>
          </w:p>
          <w:p w14:paraId="58770CED" w14:textId="77777777" w:rsidR="000A2139" w:rsidRDefault="000A2139" w:rsidP="00D52040">
            <w:pPr>
              <w:rPr>
                <w:rFonts w:ascii="Times New Roman" w:hAnsi="Times New Roman" w:cs="Times New Roman"/>
              </w:rPr>
            </w:pPr>
            <w:r>
              <w:rPr>
                <w:rFonts w:ascii="Times New Roman" w:hAnsi="Times New Roman" w:cs="Times New Roman"/>
              </w:rPr>
              <w:t>And beyond such, each participating captive was fully liable for its pro rata share of losses, just as done in a Lloyd’s of London arrangement.</w:t>
            </w:r>
          </w:p>
          <w:p w14:paraId="6A37D5CF" w14:textId="77777777" w:rsidR="000A2139" w:rsidRPr="0040614D" w:rsidRDefault="000A2139" w:rsidP="00D52040">
            <w:pPr>
              <w:rPr>
                <w:rFonts w:ascii="Times New Roman" w:hAnsi="Times New Roman" w:cs="Times New Roman"/>
              </w:rPr>
            </w:pPr>
          </w:p>
        </w:tc>
      </w:tr>
      <w:tr w:rsidR="000A2139" w:rsidRPr="003737A2" w14:paraId="137EFB48" w14:textId="77777777" w:rsidTr="00CC5341">
        <w:tc>
          <w:tcPr>
            <w:tcW w:w="4680" w:type="dxa"/>
          </w:tcPr>
          <w:p w14:paraId="083D99A4" w14:textId="77777777" w:rsidR="000A2139" w:rsidRPr="0040614D" w:rsidRDefault="000A2139" w:rsidP="00D52040">
            <w:pPr>
              <w:rPr>
                <w:rFonts w:ascii="Times New Roman" w:hAnsi="Times New Roman" w:cs="Times New Roman"/>
              </w:rPr>
            </w:pPr>
            <w:r w:rsidRPr="0040614D">
              <w:rPr>
                <w:rFonts w:ascii="Times New Roman" w:hAnsi="Times New Roman" w:cs="Times New Roman"/>
              </w:rPr>
              <w:lastRenderedPageBreak/>
              <w:t xml:space="preserve">Feedback </w:t>
            </w:r>
            <w:r>
              <w:rPr>
                <w:rFonts w:ascii="Times New Roman" w:hAnsi="Times New Roman" w:cs="Times New Roman"/>
              </w:rPr>
              <w:t xml:space="preserve">captive </w:t>
            </w:r>
            <w:r w:rsidRPr="0040614D">
              <w:rPr>
                <w:rFonts w:ascii="Times New Roman" w:hAnsi="Times New Roman" w:cs="Times New Roman"/>
              </w:rPr>
              <w:t xml:space="preserve">dealt with claims “on an ad hoc basis” </w:t>
            </w:r>
            <w:r>
              <w:rPr>
                <w:rFonts w:ascii="Times New Roman" w:hAnsi="Times New Roman" w:cs="Times New Roman"/>
              </w:rPr>
              <w:t>and claims were only filed after the IRS audit began.</w:t>
            </w:r>
            <w:r>
              <w:rPr>
                <w:rStyle w:val="EndnoteReference"/>
                <w:rFonts w:ascii="Times New Roman" w:hAnsi="Times New Roman" w:cs="Times New Roman"/>
              </w:rPr>
              <w:endnoteReference w:id="76"/>
            </w:r>
            <w:r>
              <w:rPr>
                <w:rFonts w:ascii="Times New Roman" w:hAnsi="Times New Roman" w:cs="Times New Roman"/>
              </w:rPr>
              <w:t xml:space="preserve">  </w:t>
            </w:r>
            <w:r w:rsidRPr="0040614D">
              <w:rPr>
                <w:rFonts w:ascii="Times New Roman" w:hAnsi="Times New Roman" w:cs="Times New Roman"/>
              </w:rPr>
              <w:t>The few claims that were paid by Feedback were approved despite being filed late and inconsistent with the terms of the captive's policy.</w:t>
            </w:r>
            <w:r>
              <w:rPr>
                <w:rStyle w:val="EndnoteReference"/>
                <w:rFonts w:ascii="Times New Roman" w:hAnsi="Times New Roman" w:cs="Times New Roman"/>
              </w:rPr>
              <w:endnoteReference w:id="77"/>
            </w:r>
          </w:p>
        </w:tc>
        <w:tc>
          <w:tcPr>
            <w:tcW w:w="4765" w:type="dxa"/>
          </w:tcPr>
          <w:p w14:paraId="3E3BE8CB" w14:textId="77777777" w:rsidR="000A2139" w:rsidRDefault="000A2139" w:rsidP="00D52040">
            <w:pPr>
              <w:rPr>
                <w:rFonts w:ascii="Times New Roman" w:hAnsi="Times New Roman" w:cs="Times New Roman"/>
                <w:b/>
              </w:rPr>
            </w:pPr>
            <w:r w:rsidRPr="0040614D">
              <w:rPr>
                <w:rFonts w:ascii="Times New Roman" w:hAnsi="Times New Roman" w:cs="Times New Roman"/>
              </w:rPr>
              <w:t>Claim</w:t>
            </w:r>
            <w:r>
              <w:rPr>
                <w:rFonts w:ascii="Times New Roman" w:hAnsi="Times New Roman" w:cs="Times New Roman"/>
              </w:rPr>
              <w:t xml:space="preserve">s were paid </w:t>
            </w:r>
            <w:r w:rsidRPr="0040614D">
              <w:rPr>
                <w:rFonts w:ascii="Times New Roman" w:hAnsi="Times New Roman" w:cs="Times New Roman"/>
              </w:rPr>
              <w:t xml:space="preserve">by Reserve </w:t>
            </w:r>
            <w:r>
              <w:rPr>
                <w:rFonts w:ascii="Times New Roman" w:hAnsi="Times New Roman" w:cs="Times New Roman"/>
              </w:rPr>
              <w:t xml:space="preserve">on its direct written </w:t>
            </w:r>
            <w:r w:rsidRPr="005815F2">
              <w:rPr>
                <w:rFonts w:ascii="Times New Roman" w:hAnsi="Times New Roman" w:cs="Times New Roman"/>
              </w:rPr>
              <w:t xml:space="preserve">policies (that is, to its affiliated insureds).  A total of $339,820 to the Peak Insureds during the years at issue.  Third party claims totaled an additional </w:t>
            </w:r>
            <w:r w:rsidRPr="008F5909">
              <w:rPr>
                <w:rFonts w:ascii="Times New Roman" w:hAnsi="Times New Roman" w:cs="Times New Roman"/>
              </w:rPr>
              <w:t xml:space="preserve">$187,891.99 (aggregating $527,711.99) during the 3 years at issue.  </w:t>
            </w:r>
            <w:r w:rsidRPr="005815F2">
              <w:rPr>
                <w:rFonts w:ascii="Times New Roman" w:hAnsi="Times New Roman" w:cs="Times New Roman"/>
              </w:rPr>
              <w:t>All claims paid were according to the policies’ terms, with (in the case of the Peak insureds) formal settlement</w:t>
            </w:r>
            <w:r w:rsidRPr="0040614D">
              <w:rPr>
                <w:rFonts w:ascii="Times New Roman" w:hAnsi="Times New Roman" w:cs="Times New Roman"/>
              </w:rPr>
              <w:t xml:space="preserve"> documentation being fully </w:t>
            </w:r>
            <w:r>
              <w:rPr>
                <w:rFonts w:ascii="Times New Roman" w:hAnsi="Times New Roman" w:cs="Times New Roman"/>
              </w:rPr>
              <w:t>executed.</w:t>
            </w:r>
            <w:r>
              <w:rPr>
                <w:rStyle w:val="EndnoteReference"/>
                <w:rFonts w:ascii="Times New Roman" w:hAnsi="Times New Roman" w:cs="Times New Roman"/>
              </w:rPr>
              <w:endnoteReference w:id="78"/>
            </w:r>
          </w:p>
          <w:p w14:paraId="1B5E80C6" w14:textId="77777777" w:rsidR="000A2139" w:rsidRPr="0040614D" w:rsidRDefault="000A2139" w:rsidP="00D52040">
            <w:pPr>
              <w:rPr>
                <w:rFonts w:ascii="Times New Roman" w:hAnsi="Times New Roman" w:cs="Times New Roman"/>
              </w:rPr>
            </w:pPr>
          </w:p>
        </w:tc>
      </w:tr>
      <w:tr w:rsidR="000A2139" w:rsidRPr="003737A2" w14:paraId="0B2A617C" w14:textId="77777777" w:rsidTr="00CC5341">
        <w:tc>
          <w:tcPr>
            <w:tcW w:w="4680" w:type="dxa"/>
          </w:tcPr>
          <w:p w14:paraId="097ABA59" w14:textId="77777777" w:rsidR="000A2139" w:rsidRPr="0040614D" w:rsidRDefault="000A2139" w:rsidP="00D52040">
            <w:pPr>
              <w:rPr>
                <w:rFonts w:ascii="Times New Roman" w:hAnsi="Times New Roman" w:cs="Times New Roman"/>
              </w:rPr>
            </w:pPr>
            <w:r w:rsidRPr="0040614D">
              <w:rPr>
                <w:rFonts w:ascii="Times New Roman" w:hAnsi="Times New Roman" w:cs="Times New Roman"/>
              </w:rPr>
              <w:t xml:space="preserve">Both the insureds </w:t>
            </w:r>
            <w:r w:rsidRPr="00282B06">
              <w:rPr>
                <w:rFonts w:ascii="Times New Roman" w:hAnsi="Times New Roman" w:cs="Times New Roman"/>
                <w:b/>
                <w:u w:val="single"/>
              </w:rPr>
              <w:t>and</w:t>
            </w:r>
            <w:r w:rsidRPr="0040614D">
              <w:rPr>
                <w:rFonts w:ascii="Times New Roman" w:hAnsi="Times New Roman" w:cs="Times New Roman"/>
              </w:rPr>
              <w:t xml:space="preserve"> the captive insurer were parties before the Court.</w:t>
            </w:r>
          </w:p>
          <w:p w14:paraId="444B9CDB" w14:textId="77777777" w:rsidR="000A2139" w:rsidRPr="0040614D" w:rsidRDefault="000A2139" w:rsidP="00D52040">
            <w:pPr>
              <w:rPr>
                <w:rFonts w:ascii="Times New Roman" w:hAnsi="Times New Roman" w:cs="Times New Roman"/>
              </w:rPr>
            </w:pPr>
          </w:p>
        </w:tc>
        <w:tc>
          <w:tcPr>
            <w:tcW w:w="4765" w:type="dxa"/>
          </w:tcPr>
          <w:p w14:paraId="23CD6410" w14:textId="0EA15EDF" w:rsidR="000A2139" w:rsidRDefault="000A2139" w:rsidP="00D52040">
            <w:pPr>
              <w:rPr>
                <w:rFonts w:ascii="Times New Roman" w:hAnsi="Times New Roman" w:cs="Times New Roman"/>
              </w:rPr>
            </w:pPr>
            <w:r>
              <w:rPr>
                <w:rFonts w:ascii="Times New Roman" w:hAnsi="Times New Roman" w:cs="Times New Roman"/>
              </w:rPr>
              <w:t xml:space="preserve">Only </w:t>
            </w:r>
            <w:r w:rsidRPr="0040614D">
              <w:rPr>
                <w:rFonts w:ascii="Times New Roman" w:hAnsi="Times New Roman" w:cs="Times New Roman"/>
              </w:rPr>
              <w:t xml:space="preserve">Reserve, the captive insurer, was </w:t>
            </w:r>
            <w:r>
              <w:rPr>
                <w:rFonts w:ascii="Times New Roman" w:hAnsi="Times New Roman" w:cs="Times New Roman"/>
              </w:rPr>
              <w:t xml:space="preserve">a </w:t>
            </w:r>
            <w:r w:rsidRPr="0040614D">
              <w:rPr>
                <w:rFonts w:ascii="Times New Roman" w:hAnsi="Times New Roman" w:cs="Times New Roman"/>
              </w:rPr>
              <w:t>party before the Court.</w:t>
            </w:r>
            <w:r>
              <w:rPr>
                <w:rFonts w:ascii="Times New Roman" w:hAnsi="Times New Roman" w:cs="Times New Roman"/>
              </w:rPr>
              <w:t xml:space="preserve">  Neither the pool nor the Peak insureds were parties.  However, despite these persons not being parties in the case, the Court nonetheless made findings against these non-parties.</w:t>
            </w:r>
          </w:p>
          <w:p w14:paraId="19847FE0" w14:textId="77777777" w:rsidR="000A2139" w:rsidRPr="0040614D" w:rsidRDefault="000A2139" w:rsidP="00D52040">
            <w:pPr>
              <w:rPr>
                <w:rFonts w:ascii="Times New Roman" w:hAnsi="Times New Roman" w:cs="Times New Roman"/>
              </w:rPr>
            </w:pPr>
          </w:p>
        </w:tc>
      </w:tr>
    </w:tbl>
    <w:p w14:paraId="73EA92DB" w14:textId="77777777" w:rsidR="000A2139" w:rsidRDefault="000A2139" w:rsidP="00B61CA0">
      <w:pPr>
        <w:spacing w:after="0" w:line="240" w:lineRule="auto"/>
        <w:rPr>
          <w:rFonts w:ascii="Times New Roman" w:hAnsi="Times New Roman" w:cs="Times New Roman"/>
          <w:sz w:val="24"/>
          <w:szCs w:val="24"/>
        </w:rPr>
      </w:pPr>
    </w:p>
    <w:p w14:paraId="0910E056" w14:textId="083DB19B" w:rsidR="000A2139" w:rsidRPr="00AB34C6" w:rsidRDefault="000A2139" w:rsidP="00AB34C6">
      <w:pPr>
        <w:pStyle w:val="Heading1"/>
        <w:spacing w:before="0"/>
        <w:rPr>
          <w:rFonts w:ascii="Times New Roman" w:hAnsi="Times New Roman" w:cs="Times New Roman"/>
          <w:b/>
          <w:sz w:val="24"/>
          <w:szCs w:val="24"/>
        </w:rPr>
      </w:pPr>
      <w:bookmarkStart w:id="26" w:name="_Toc534366174"/>
      <w:r w:rsidRPr="00AB34C6">
        <w:rPr>
          <w:rFonts w:ascii="Times New Roman" w:hAnsi="Times New Roman" w:cs="Times New Roman"/>
          <w:b/>
          <w:color w:val="auto"/>
          <w:sz w:val="24"/>
          <w:szCs w:val="24"/>
        </w:rPr>
        <w:t xml:space="preserve">V. Court’s Findings in Applying </w:t>
      </w:r>
      <w:r w:rsidRPr="00AB34C6">
        <w:rPr>
          <w:rFonts w:ascii="Times New Roman" w:hAnsi="Times New Roman" w:cs="Times New Roman"/>
          <w:b/>
          <w:i/>
          <w:color w:val="auto"/>
          <w:sz w:val="24"/>
          <w:szCs w:val="24"/>
        </w:rPr>
        <w:t>Avrahami</w:t>
      </w:r>
      <w:r w:rsidRPr="00AB34C6">
        <w:rPr>
          <w:rFonts w:ascii="Times New Roman" w:hAnsi="Times New Roman" w:cs="Times New Roman"/>
          <w:b/>
          <w:color w:val="auto"/>
          <w:sz w:val="24"/>
          <w:szCs w:val="24"/>
        </w:rPr>
        <w:t xml:space="preserve"> Factors Are Inconsistent with the Evidence</w:t>
      </w:r>
      <w:bookmarkEnd w:id="26"/>
    </w:p>
    <w:p w14:paraId="677AF19F" w14:textId="77777777" w:rsidR="000A2139" w:rsidRDefault="000A2139" w:rsidP="00597506">
      <w:pPr>
        <w:spacing w:after="0" w:line="240" w:lineRule="auto"/>
        <w:rPr>
          <w:rFonts w:ascii="Times New Roman" w:hAnsi="Times New Roman" w:cs="Times New Roman"/>
          <w:sz w:val="24"/>
          <w:szCs w:val="24"/>
        </w:rPr>
      </w:pPr>
    </w:p>
    <w:p w14:paraId="72944B4F" w14:textId="77777777" w:rsidR="000A2139" w:rsidRDefault="000A2139" w:rsidP="00597506">
      <w:pPr>
        <w:spacing w:after="0" w:line="240" w:lineRule="auto"/>
        <w:rPr>
          <w:rFonts w:ascii="Times New Roman" w:hAnsi="Times New Roman" w:cs="Times New Roman"/>
          <w:sz w:val="24"/>
          <w:szCs w:val="24"/>
        </w:rPr>
      </w:pPr>
      <w:r>
        <w:rPr>
          <w:rFonts w:ascii="Times New Roman" w:hAnsi="Times New Roman" w:cs="Times New Roman"/>
          <w:sz w:val="24"/>
          <w:szCs w:val="24"/>
        </w:rPr>
        <w:t>Finally,</w:t>
      </w:r>
      <w:r w:rsidRPr="002138AD">
        <w:rPr>
          <w:rFonts w:ascii="Times New Roman" w:hAnsi="Times New Roman" w:cs="Times New Roman"/>
          <w:sz w:val="24"/>
          <w:szCs w:val="24"/>
        </w:rPr>
        <w:t xml:space="preserve"> the Court </w:t>
      </w:r>
      <w:r>
        <w:rPr>
          <w:rFonts w:ascii="Times New Roman" w:hAnsi="Times New Roman" w:cs="Times New Roman"/>
          <w:sz w:val="24"/>
          <w:szCs w:val="24"/>
        </w:rPr>
        <w:t xml:space="preserve">in </w:t>
      </w:r>
      <w:r w:rsidRPr="00603998">
        <w:rPr>
          <w:rFonts w:ascii="Times New Roman" w:hAnsi="Times New Roman" w:cs="Times New Roman"/>
          <w:i/>
          <w:sz w:val="24"/>
          <w:szCs w:val="24"/>
        </w:rPr>
        <w:t>Reserve</w:t>
      </w:r>
      <w:r>
        <w:rPr>
          <w:rFonts w:ascii="Times New Roman" w:hAnsi="Times New Roman" w:cs="Times New Roman"/>
          <w:sz w:val="24"/>
          <w:szCs w:val="24"/>
        </w:rPr>
        <w:t xml:space="preserve"> </w:t>
      </w:r>
      <w:r w:rsidRPr="002138AD">
        <w:rPr>
          <w:rFonts w:ascii="Times New Roman" w:hAnsi="Times New Roman" w:cs="Times New Roman"/>
          <w:sz w:val="24"/>
          <w:szCs w:val="24"/>
        </w:rPr>
        <w:t xml:space="preserve">did not </w:t>
      </w:r>
      <w:r>
        <w:rPr>
          <w:rFonts w:ascii="Times New Roman" w:hAnsi="Times New Roman" w:cs="Times New Roman"/>
          <w:sz w:val="24"/>
          <w:szCs w:val="24"/>
        </w:rPr>
        <w:t xml:space="preserve">evaluate or was clearly erroneous in examining the evidence presented with respect to either of the two tests that the Court purported to apply.  </w:t>
      </w:r>
    </w:p>
    <w:p w14:paraId="3E19FAC7" w14:textId="77777777" w:rsidR="000A2139" w:rsidRDefault="000A2139" w:rsidP="00597506">
      <w:pPr>
        <w:spacing w:after="0" w:line="240" w:lineRule="auto"/>
        <w:rPr>
          <w:rFonts w:ascii="Times New Roman" w:hAnsi="Times New Roman" w:cs="Times New Roman"/>
          <w:sz w:val="24"/>
          <w:szCs w:val="24"/>
        </w:rPr>
      </w:pPr>
    </w:p>
    <w:p w14:paraId="05B67F7C" w14:textId="29B64BF7" w:rsidR="000A2139" w:rsidRDefault="000A2139" w:rsidP="00597506">
      <w:pPr>
        <w:spacing w:after="0" w:line="240" w:lineRule="auto"/>
        <w:rPr>
          <w:rFonts w:ascii="Times New Roman" w:hAnsi="Times New Roman" w:cs="Times New Roman"/>
          <w:sz w:val="24"/>
          <w:szCs w:val="24"/>
        </w:rPr>
      </w:pPr>
      <w:r>
        <w:rPr>
          <w:rFonts w:ascii="Times New Roman" w:hAnsi="Times New Roman" w:cs="Times New Roman"/>
          <w:sz w:val="24"/>
          <w:szCs w:val="24"/>
        </w:rPr>
        <w:t>The Court first purported to apply the previously</w:t>
      </w:r>
      <w:r w:rsidR="007372E8">
        <w:rPr>
          <w:rFonts w:ascii="Times New Roman" w:hAnsi="Times New Roman" w:cs="Times New Roman"/>
          <w:sz w:val="24"/>
          <w:szCs w:val="24"/>
        </w:rPr>
        <w:t xml:space="preserve"> </w:t>
      </w:r>
      <w:r>
        <w:rPr>
          <w:rFonts w:ascii="Times New Roman" w:hAnsi="Times New Roman" w:cs="Times New Roman"/>
          <w:sz w:val="24"/>
          <w:szCs w:val="24"/>
        </w:rPr>
        <w:t xml:space="preserve">discussed “bona fide insurance company” test and relevant factors to the PoolRe pooling arrangement.  The Court then attempted to apply the </w:t>
      </w:r>
      <w:r w:rsidRPr="006675F2">
        <w:rPr>
          <w:rFonts w:ascii="Times New Roman" w:hAnsi="Times New Roman" w:cs="Times New Roman"/>
          <w:sz w:val="24"/>
          <w:szCs w:val="24"/>
        </w:rPr>
        <w:t>“</w:t>
      </w:r>
      <w:r>
        <w:rPr>
          <w:rFonts w:ascii="Times New Roman" w:hAnsi="Times New Roman" w:cs="Times New Roman"/>
          <w:sz w:val="24"/>
          <w:szCs w:val="24"/>
        </w:rPr>
        <w:t>i</w:t>
      </w:r>
      <w:r w:rsidRPr="006675F2">
        <w:rPr>
          <w:rFonts w:ascii="Times New Roman" w:hAnsi="Times New Roman" w:cs="Times New Roman"/>
          <w:sz w:val="24"/>
          <w:szCs w:val="24"/>
        </w:rPr>
        <w:t xml:space="preserve">nsurance in the </w:t>
      </w:r>
      <w:r>
        <w:rPr>
          <w:rFonts w:ascii="Times New Roman" w:hAnsi="Times New Roman" w:cs="Times New Roman"/>
          <w:sz w:val="24"/>
          <w:szCs w:val="24"/>
        </w:rPr>
        <w:t>c</w:t>
      </w:r>
      <w:r w:rsidRPr="006675F2">
        <w:rPr>
          <w:rFonts w:ascii="Times New Roman" w:hAnsi="Times New Roman" w:cs="Times New Roman"/>
          <w:sz w:val="24"/>
          <w:szCs w:val="24"/>
        </w:rPr>
        <w:t xml:space="preserve">ommonly </w:t>
      </w:r>
      <w:r>
        <w:rPr>
          <w:rFonts w:ascii="Times New Roman" w:hAnsi="Times New Roman" w:cs="Times New Roman"/>
          <w:sz w:val="24"/>
          <w:szCs w:val="24"/>
        </w:rPr>
        <w:t>a</w:t>
      </w:r>
      <w:r w:rsidRPr="006675F2">
        <w:rPr>
          <w:rFonts w:ascii="Times New Roman" w:hAnsi="Times New Roman" w:cs="Times New Roman"/>
          <w:sz w:val="24"/>
          <w:szCs w:val="24"/>
        </w:rPr>
        <w:t xml:space="preserve">ccepted </w:t>
      </w:r>
      <w:r>
        <w:rPr>
          <w:rFonts w:ascii="Times New Roman" w:hAnsi="Times New Roman" w:cs="Times New Roman"/>
          <w:sz w:val="24"/>
          <w:szCs w:val="24"/>
        </w:rPr>
        <w:t>s</w:t>
      </w:r>
      <w:r w:rsidRPr="006675F2">
        <w:rPr>
          <w:rFonts w:ascii="Times New Roman" w:hAnsi="Times New Roman" w:cs="Times New Roman"/>
          <w:sz w:val="24"/>
          <w:szCs w:val="24"/>
        </w:rPr>
        <w:t>ense</w:t>
      </w:r>
      <w:r>
        <w:rPr>
          <w:rFonts w:ascii="Times New Roman" w:hAnsi="Times New Roman" w:cs="Times New Roman"/>
          <w:sz w:val="24"/>
          <w:szCs w:val="24"/>
        </w:rPr>
        <w:t>” test and relevant factors to Reserve’s direct written policies.</w:t>
      </w:r>
    </w:p>
    <w:p w14:paraId="45456DB2" w14:textId="77777777" w:rsidR="000A2139" w:rsidRDefault="000A2139" w:rsidP="00597506">
      <w:pPr>
        <w:spacing w:after="0" w:line="240" w:lineRule="auto"/>
        <w:rPr>
          <w:rFonts w:ascii="Times New Roman" w:hAnsi="Times New Roman" w:cs="Times New Roman"/>
          <w:sz w:val="24"/>
          <w:szCs w:val="24"/>
        </w:rPr>
      </w:pPr>
    </w:p>
    <w:p w14:paraId="138E219B" w14:textId="77777777" w:rsidR="000A2139" w:rsidRDefault="000A2139" w:rsidP="00597506">
      <w:pPr>
        <w:spacing w:after="0" w:line="240" w:lineRule="auto"/>
        <w:rPr>
          <w:rFonts w:ascii="Times New Roman" w:hAnsi="Times New Roman" w:cs="Times New Roman"/>
          <w:sz w:val="24"/>
          <w:szCs w:val="24"/>
        </w:rPr>
      </w:pPr>
      <w:r>
        <w:rPr>
          <w:rFonts w:ascii="Times New Roman" w:hAnsi="Times New Roman" w:cs="Times New Roman"/>
          <w:sz w:val="24"/>
          <w:szCs w:val="24"/>
        </w:rPr>
        <w:t>As discussed below, the Court’s conclusions, with respect to both tests, were not consistent with the evidence at trial.</w:t>
      </w:r>
    </w:p>
    <w:p w14:paraId="4EABE5EA" w14:textId="77777777" w:rsidR="000A2139" w:rsidRDefault="000A2139" w:rsidP="00597506">
      <w:pPr>
        <w:spacing w:after="0" w:line="240" w:lineRule="auto"/>
        <w:rPr>
          <w:rFonts w:ascii="Times New Roman" w:hAnsi="Times New Roman" w:cs="Times New Roman"/>
          <w:sz w:val="24"/>
          <w:szCs w:val="24"/>
        </w:rPr>
      </w:pPr>
    </w:p>
    <w:p w14:paraId="33A01B19" w14:textId="77777777" w:rsidR="000A2139" w:rsidRPr="00AB34C6" w:rsidRDefault="000A2139" w:rsidP="00AB34C6">
      <w:pPr>
        <w:pStyle w:val="Heading2"/>
        <w:spacing w:before="0" w:line="240" w:lineRule="auto"/>
        <w:rPr>
          <w:rFonts w:ascii="Times New Roman" w:hAnsi="Times New Roman" w:cs="Times New Roman"/>
          <w:b/>
          <w:color w:val="auto"/>
          <w:sz w:val="24"/>
          <w:szCs w:val="24"/>
        </w:rPr>
      </w:pPr>
      <w:bookmarkStart w:id="27" w:name="_Toc534366175"/>
      <w:r w:rsidRPr="00AB34C6">
        <w:rPr>
          <w:rFonts w:ascii="Times New Roman" w:hAnsi="Times New Roman" w:cs="Times New Roman"/>
          <w:b/>
          <w:color w:val="auto"/>
          <w:sz w:val="24"/>
          <w:szCs w:val="24"/>
        </w:rPr>
        <w:t>A.  “Bona Fide Insurance Company” Test – Factors Addressed</w:t>
      </w:r>
      <w:bookmarkEnd w:id="27"/>
    </w:p>
    <w:p w14:paraId="203C66CD" w14:textId="77777777" w:rsidR="000A2139" w:rsidRDefault="000A2139" w:rsidP="00597506">
      <w:pPr>
        <w:spacing w:after="0" w:line="240" w:lineRule="auto"/>
        <w:rPr>
          <w:rFonts w:ascii="Times New Roman" w:hAnsi="Times New Roman" w:cs="Times New Roman"/>
          <w:sz w:val="24"/>
          <w:szCs w:val="24"/>
        </w:rPr>
      </w:pPr>
    </w:p>
    <w:p w14:paraId="48407C59" w14:textId="77777777" w:rsidR="000A2139" w:rsidRDefault="000A2139" w:rsidP="00597506">
      <w:pPr>
        <w:spacing w:after="0" w:line="240" w:lineRule="auto"/>
        <w:rPr>
          <w:rFonts w:ascii="Times New Roman" w:hAnsi="Times New Roman" w:cs="Times New Roman"/>
          <w:sz w:val="24"/>
          <w:szCs w:val="24"/>
        </w:rPr>
      </w:pPr>
      <w:r>
        <w:rPr>
          <w:rFonts w:ascii="Times New Roman" w:hAnsi="Times New Roman" w:cs="Times New Roman"/>
          <w:sz w:val="24"/>
          <w:szCs w:val="24"/>
        </w:rPr>
        <w:t>Each factor that the Court discussed to determine whether PoolRe was a bona fide insurance company is analyzed below.</w:t>
      </w:r>
    </w:p>
    <w:p w14:paraId="6CEF2CCF" w14:textId="77777777" w:rsidR="000A2139" w:rsidRDefault="000A2139" w:rsidP="00597506">
      <w:pPr>
        <w:spacing w:after="0" w:line="240" w:lineRule="auto"/>
        <w:rPr>
          <w:rFonts w:ascii="Times New Roman" w:hAnsi="Times New Roman" w:cs="Times New Roman"/>
          <w:sz w:val="24"/>
          <w:szCs w:val="24"/>
        </w:rPr>
      </w:pPr>
    </w:p>
    <w:p w14:paraId="2E96F02B" w14:textId="77777777" w:rsidR="000A2139" w:rsidRPr="00B52DBE" w:rsidRDefault="000A2139" w:rsidP="00B52DBE">
      <w:pPr>
        <w:pStyle w:val="Heading3"/>
        <w:spacing w:before="0" w:line="240" w:lineRule="auto"/>
        <w:rPr>
          <w:rFonts w:ascii="Times New Roman" w:hAnsi="Times New Roman" w:cs="Times New Roman"/>
          <w:b/>
          <w:color w:val="auto"/>
        </w:rPr>
      </w:pPr>
      <w:bookmarkStart w:id="28" w:name="_Toc534366176"/>
      <w:bookmarkStart w:id="29" w:name="_Hlk525301913"/>
      <w:r w:rsidRPr="00B52DBE">
        <w:rPr>
          <w:rFonts w:ascii="Times New Roman" w:hAnsi="Times New Roman" w:cs="Times New Roman"/>
          <w:b/>
          <w:color w:val="auto"/>
        </w:rPr>
        <w:t>1. Circular Flow of Funds</w:t>
      </w:r>
      <w:bookmarkEnd w:id="28"/>
    </w:p>
    <w:bookmarkEnd w:id="29"/>
    <w:p w14:paraId="6F887BE8" w14:textId="77777777" w:rsidR="000A2139" w:rsidRDefault="000A2139" w:rsidP="009D3C6E">
      <w:pPr>
        <w:spacing w:after="0" w:line="240" w:lineRule="auto"/>
        <w:rPr>
          <w:rFonts w:ascii="Times New Roman" w:hAnsi="Times New Roman" w:cs="Times New Roman"/>
          <w:sz w:val="24"/>
          <w:szCs w:val="24"/>
        </w:rPr>
      </w:pPr>
    </w:p>
    <w:p w14:paraId="62066EC3" w14:textId="77777777" w:rsidR="000A2139" w:rsidRDefault="000A2139" w:rsidP="008D5290">
      <w:pPr>
        <w:spacing w:after="0" w:line="240" w:lineRule="auto"/>
        <w:rPr>
          <w:rFonts w:ascii="Times New Roman" w:hAnsi="Times New Roman" w:cs="Times New Roman"/>
          <w:sz w:val="24"/>
          <w:szCs w:val="24"/>
        </w:rPr>
      </w:pPr>
      <w:r>
        <w:rPr>
          <w:rFonts w:ascii="Times New Roman" w:hAnsi="Times New Roman" w:cs="Times New Roman"/>
          <w:sz w:val="24"/>
          <w:szCs w:val="24"/>
        </w:rPr>
        <w:t>In connection with evaluating the “circular flow of funds” factor, the Court stated:</w:t>
      </w:r>
    </w:p>
    <w:p w14:paraId="2BD415DE" w14:textId="77777777" w:rsidR="000A2139" w:rsidRDefault="000A2139" w:rsidP="008D5290">
      <w:pPr>
        <w:spacing w:after="0" w:line="240" w:lineRule="auto"/>
        <w:rPr>
          <w:rFonts w:ascii="Times New Roman" w:hAnsi="Times New Roman" w:cs="Times New Roman"/>
          <w:sz w:val="24"/>
          <w:szCs w:val="24"/>
        </w:rPr>
      </w:pPr>
    </w:p>
    <w:p w14:paraId="0257B620" w14:textId="77777777" w:rsidR="000A2139" w:rsidRDefault="000A2139" w:rsidP="00DA694B">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w:t>
      </w:r>
      <w:r w:rsidRPr="00C53308">
        <w:rPr>
          <w:rFonts w:ascii="Times New Roman" w:hAnsi="Times New Roman" w:cs="Times New Roman"/>
          <w:b/>
          <w:i/>
          <w:sz w:val="24"/>
          <w:szCs w:val="24"/>
        </w:rPr>
        <w:t>The end result for each tax year under the quota share arrangement was that Reserve would receive payments from PoolRe in exactly the same amount as the payments that PoolRe was entitled to receive from Peak and the other insureds for the stop loss coverage</w:t>
      </w:r>
      <w:r w:rsidRPr="00DA694B">
        <w:rPr>
          <w:rFonts w:ascii="Times New Roman" w:hAnsi="Times New Roman" w:cs="Times New Roman"/>
          <w:b/>
          <w:i/>
          <w:sz w:val="24"/>
          <w:szCs w:val="24"/>
        </w:rPr>
        <w:t xml:space="preserve">.  In considering a very similar set of circumstances in </w:t>
      </w:r>
      <w:r w:rsidRPr="00DA694B">
        <w:rPr>
          <w:rFonts w:ascii="Times New Roman" w:hAnsi="Times New Roman" w:cs="Times New Roman"/>
          <w:b/>
          <w:i/>
          <w:sz w:val="24"/>
          <w:szCs w:val="24"/>
          <w:u w:val="single"/>
        </w:rPr>
        <w:t>Avrahami v. Commissioner</w:t>
      </w:r>
      <w:r w:rsidRPr="00DA694B">
        <w:rPr>
          <w:rFonts w:ascii="Times New Roman" w:hAnsi="Times New Roman" w:cs="Times New Roman"/>
          <w:b/>
          <w:i/>
          <w:sz w:val="24"/>
          <w:szCs w:val="24"/>
        </w:rPr>
        <w:t>, 149 T.C. at __ (slip op. at 68), we concluded that “[w]hile not quite a complete loop, this arrangement looks suspiciously like a circular flow of funds</w:t>
      </w:r>
      <w:r w:rsidRPr="00354399">
        <w:rPr>
          <w:rFonts w:ascii="Times New Roman" w:hAnsi="Times New Roman" w:cs="Times New Roman"/>
          <w:sz w:val="24"/>
          <w:szCs w:val="24"/>
        </w:rPr>
        <w:t>.</w:t>
      </w:r>
      <w:r>
        <w:rPr>
          <w:rFonts w:ascii="Times New Roman" w:hAnsi="Times New Roman" w:cs="Times New Roman"/>
          <w:sz w:val="24"/>
          <w:szCs w:val="24"/>
        </w:rPr>
        <w:t>”</w:t>
      </w:r>
      <w:r>
        <w:rPr>
          <w:rStyle w:val="EndnoteReference"/>
          <w:rFonts w:ascii="Times New Roman" w:hAnsi="Times New Roman" w:cs="Times New Roman"/>
          <w:sz w:val="24"/>
          <w:szCs w:val="24"/>
        </w:rPr>
        <w:endnoteReference w:id="79"/>
      </w:r>
    </w:p>
    <w:p w14:paraId="79F2A03F" w14:textId="77777777" w:rsidR="000A2139" w:rsidRDefault="000A2139" w:rsidP="00236966">
      <w:pPr>
        <w:spacing w:after="0" w:line="240" w:lineRule="auto"/>
        <w:rPr>
          <w:rFonts w:ascii="Times New Roman" w:hAnsi="Times New Roman" w:cs="Times New Roman"/>
          <w:sz w:val="24"/>
          <w:szCs w:val="24"/>
        </w:rPr>
      </w:pPr>
    </w:p>
    <w:p w14:paraId="6BFA7AAF" w14:textId="77777777" w:rsidR="000A2139" w:rsidRDefault="000A2139" w:rsidP="008D529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Court’s statements above evidence a fundamental lack of understanding of a mutual pooling arrangement.  In every pooling arrangement, by definition, the premiums paid into the pooling arrangement equal the premiums ceded to the pool participants.  </w:t>
      </w:r>
      <w:r w:rsidRPr="003D15AA">
        <w:rPr>
          <w:rFonts w:ascii="Times New Roman" w:hAnsi="Times New Roman" w:cs="Times New Roman"/>
          <w:sz w:val="24"/>
          <w:szCs w:val="24"/>
        </w:rPr>
        <w:t>Th</w:t>
      </w:r>
      <w:r>
        <w:rPr>
          <w:rFonts w:ascii="Times New Roman" w:hAnsi="Times New Roman" w:cs="Times New Roman"/>
          <w:sz w:val="24"/>
          <w:szCs w:val="24"/>
        </w:rPr>
        <w:t xml:space="preserve">is </w:t>
      </w:r>
      <w:r w:rsidRPr="003D15AA">
        <w:rPr>
          <w:rFonts w:ascii="Times New Roman" w:hAnsi="Times New Roman" w:cs="Times New Roman"/>
          <w:sz w:val="24"/>
          <w:szCs w:val="24"/>
        </w:rPr>
        <w:t>is what a pool does; it blends and distributes risk.</w:t>
      </w:r>
      <w:r>
        <w:rPr>
          <w:rStyle w:val="EndnoteReference"/>
          <w:rFonts w:ascii="Times New Roman" w:hAnsi="Times New Roman" w:cs="Times New Roman"/>
          <w:sz w:val="24"/>
          <w:szCs w:val="24"/>
        </w:rPr>
        <w:endnoteReference w:id="80"/>
      </w:r>
      <w:r>
        <w:rPr>
          <w:rFonts w:ascii="Times New Roman" w:hAnsi="Times New Roman" w:cs="Times New Roman"/>
          <w:sz w:val="24"/>
          <w:szCs w:val="24"/>
        </w:rPr>
        <w:t xml:space="preserve">  However, the risks associated with the premiums paid to the pool are wholly distinct from the risks associated with the </w:t>
      </w:r>
      <w:r w:rsidRPr="004704F6">
        <w:rPr>
          <w:rFonts w:ascii="Times New Roman" w:hAnsi="Times New Roman" w:cs="Times New Roman"/>
          <w:sz w:val="24"/>
          <w:szCs w:val="24"/>
        </w:rPr>
        <w:t xml:space="preserve">premiums </w:t>
      </w:r>
      <w:r>
        <w:rPr>
          <w:rFonts w:ascii="Times New Roman" w:hAnsi="Times New Roman" w:cs="Times New Roman"/>
          <w:sz w:val="24"/>
          <w:szCs w:val="24"/>
        </w:rPr>
        <w:t xml:space="preserve">that the pool </w:t>
      </w:r>
      <w:r w:rsidRPr="004704F6">
        <w:rPr>
          <w:rFonts w:ascii="Times New Roman" w:hAnsi="Times New Roman" w:cs="Times New Roman"/>
          <w:sz w:val="24"/>
          <w:szCs w:val="24"/>
        </w:rPr>
        <w:t>cede</w:t>
      </w:r>
      <w:r>
        <w:rPr>
          <w:rFonts w:ascii="Times New Roman" w:hAnsi="Times New Roman" w:cs="Times New Roman"/>
          <w:sz w:val="24"/>
          <w:szCs w:val="24"/>
        </w:rPr>
        <w:t>s</w:t>
      </w:r>
      <w:r w:rsidRPr="004704F6">
        <w:rPr>
          <w:rFonts w:ascii="Times New Roman" w:hAnsi="Times New Roman" w:cs="Times New Roman"/>
          <w:sz w:val="24"/>
          <w:szCs w:val="24"/>
        </w:rPr>
        <w:t xml:space="preserve"> to </w:t>
      </w:r>
      <w:r>
        <w:rPr>
          <w:rFonts w:ascii="Times New Roman" w:hAnsi="Times New Roman" w:cs="Times New Roman"/>
          <w:sz w:val="24"/>
          <w:szCs w:val="24"/>
        </w:rPr>
        <w:t>its</w:t>
      </w:r>
      <w:r w:rsidRPr="004704F6">
        <w:rPr>
          <w:rFonts w:ascii="Times New Roman" w:hAnsi="Times New Roman" w:cs="Times New Roman"/>
          <w:sz w:val="24"/>
          <w:szCs w:val="24"/>
        </w:rPr>
        <w:t xml:space="preserve"> </w:t>
      </w:r>
      <w:r>
        <w:rPr>
          <w:rFonts w:ascii="Times New Roman" w:hAnsi="Times New Roman" w:cs="Times New Roman"/>
          <w:sz w:val="24"/>
          <w:szCs w:val="24"/>
        </w:rPr>
        <w:t xml:space="preserve">participating </w:t>
      </w:r>
      <w:r w:rsidRPr="004704F6">
        <w:rPr>
          <w:rFonts w:ascii="Times New Roman" w:hAnsi="Times New Roman" w:cs="Times New Roman"/>
          <w:sz w:val="24"/>
          <w:szCs w:val="24"/>
        </w:rPr>
        <w:t xml:space="preserve">insurers.  </w:t>
      </w:r>
      <w:r>
        <w:rPr>
          <w:rFonts w:ascii="Times New Roman" w:hAnsi="Times New Roman" w:cs="Times New Roman"/>
          <w:sz w:val="24"/>
          <w:szCs w:val="24"/>
        </w:rPr>
        <w:t xml:space="preserve">The pool receives premiums from the Peak insureds for the Peak insureds’ own risks.  This was separately duplicated more than 200 times from other unaffiliated insureds which paid premiums to the pool for insurance coverage reflected in 650+ policies.  The pool blended and homogenized these premiums (and related risks) and then ceded the premiums (and related risks) to each of the </w:t>
      </w:r>
      <w:r w:rsidRPr="00920280">
        <w:rPr>
          <w:rFonts w:ascii="Times New Roman" w:hAnsi="Times New Roman" w:cs="Times New Roman"/>
          <w:sz w:val="24"/>
          <w:szCs w:val="24"/>
        </w:rPr>
        <w:t xml:space="preserve">58 unaffiliated </w:t>
      </w:r>
      <w:r>
        <w:rPr>
          <w:rFonts w:ascii="Times New Roman" w:hAnsi="Times New Roman" w:cs="Times New Roman"/>
          <w:sz w:val="24"/>
          <w:szCs w:val="24"/>
        </w:rPr>
        <w:t xml:space="preserve">participating </w:t>
      </w:r>
      <w:r w:rsidRPr="00920280">
        <w:rPr>
          <w:rFonts w:ascii="Times New Roman" w:hAnsi="Times New Roman" w:cs="Times New Roman"/>
          <w:sz w:val="24"/>
          <w:szCs w:val="24"/>
        </w:rPr>
        <w:t>insurers</w:t>
      </w:r>
      <w:r>
        <w:rPr>
          <w:rFonts w:ascii="Times New Roman" w:hAnsi="Times New Roman" w:cs="Times New Roman"/>
          <w:sz w:val="24"/>
          <w:szCs w:val="24"/>
        </w:rPr>
        <w:t xml:space="preserve"> for these </w:t>
      </w:r>
      <w:r w:rsidRPr="00920280">
        <w:rPr>
          <w:rFonts w:ascii="Times New Roman" w:hAnsi="Times New Roman" w:cs="Times New Roman"/>
          <w:sz w:val="24"/>
          <w:szCs w:val="24"/>
        </w:rPr>
        <w:t>650</w:t>
      </w:r>
      <w:r>
        <w:rPr>
          <w:rFonts w:ascii="Times New Roman" w:hAnsi="Times New Roman" w:cs="Times New Roman"/>
          <w:sz w:val="24"/>
          <w:szCs w:val="24"/>
        </w:rPr>
        <w:t>+</w:t>
      </w:r>
      <w:r w:rsidRPr="00920280">
        <w:rPr>
          <w:rFonts w:ascii="Times New Roman" w:hAnsi="Times New Roman" w:cs="Times New Roman"/>
          <w:sz w:val="24"/>
          <w:szCs w:val="24"/>
        </w:rPr>
        <w:t xml:space="preserve"> pooled polices</w:t>
      </w:r>
      <w:r>
        <w:rPr>
          <w:rFonts w:ascii="Times New Roman" w:hAnsi="Times New Roman" w:cs="Times New Roman"/>
          <w:sz w:val="24"/>
          <w:szCs w:val="24"/>
        </w:rPr>
        <w:t xml:space="preserve">. Calling this “a circular flow of funds” is a fundamental misstatement on multiple fronts. </w:t>
      </w:r>
    </w:p>
    <w:p w14:paraId="03418EC7" w14:textId="77777777" w:rsidR="000A2139" w:rsidRDefault="000A2139" w:rsidP="008D5290">
      <w:pPr>
        <w:spacing w:after="0" w:line="240" w:lineRule="auto"/>
        <w:rPr>
          <w:rFonts w:ascii="Times New Roman" w:hAnsi="Times New Roman" w:cs="Times New Roman"/>
          <w:sz w:val="24"/>
          <w:szCs w:val="24"/>
        </w:rPr>
      </w:pPr>
    </w:p>
    <w:p w14:paraId="050F1DDF" w14:textId="54BF7B75" w:rsidR="000A2139" w:rsidRDefault="000A2139" w:rsidP="008D5290">
      <w:pPr>
        <w:spacing w:after="0" w:line="240" w:lineRule="auto"/>
        <w:rPr>
          <w:rFonts w:ascii="Times New Roman" w:hAnsi="Times New Roman" w:cs="Times New Roman"/>
          <w:sz w:val="24"/>
          <w:szCs w:val="24"/>
        </w:rPr>
      </w:pPr>
      <w:r w:rsidRPr="00920280">
        <w:rPr>
          <w:rFonts w:ascii="Times New Roman" w:hAnsi="Times New Roman" w:cs="Times New Roman"/>
          <w:sz w:val="24"/>
          <w:szCs w:val="24"/>
        </w:rPr>
        <w:t xml:space="preserve">The Court </w:t>
      </w:r>
      <w:r>
        <w:rPr>
          <w:rFonts w:ascii="Times New Roman" w:hAnsi="Times New Roman" w:cs="Times New Roman"/>
          <w:sz w:val="24"/>
          <w:szCs w:val="24"/>
        </w:rPr>
        <w:t>chose to conflate the distinct and unaffiliated parties on its own, despite the evidence of the separate parties participating in the pooling arrangement not being challenged by the IRS with any contrary evidence.  In doing so, the Court ignored the well-recognized, tax distinction among separate taxpayers whether or not affiliated.</w:t>
      </w:r>
    </w:p>
    <w:p w14:paraId="2FF9A29F" w14:textId="77777777" w:rsidR="000A2139" w:rsidRDefault="000A2139" w:rsidP="008D5290">
      <w:pPr>
        <w:spacing w:after="0" w:line="240" w:lineRule="auto"/>
        <w:rPr>
          <w:rFonts w:ascii="Times New Roman" w:hAnsi="Times New Roman" w:cs="Times New Roman"/>
          <w:sz w:val="24"/>
          <w:szCs w:val="24"/>
        </w:rPr>
      </w:pPr>
    </w:p>
    <w:p w14:paraId="16E0777C" w14:textId="299BA03A" w:rsidR="000A2139" w:rsidRDefault="000A2139" w:rsidP="008D5290">
      <w:pPr>
        <w:spacing w:after="0" w:line="240" w:lineRule="auto"/>
        <w:rPr>
          <w:noProof/>
        </w:rPr>
      </w:pPr>
      <w:r w:rsidRPr="00920280">
        <w:rPr>
          <w:rFonts w:ascii="Times New Roman" w:hAnsi="Times New Roman" w:cs="Times New Roman"/>
          <w:sz w:val="24"/>
          <w:szCs w:val="24"/>
        </w:rPr>
        <w:t>S</w:t>
      </w:r>
      <w:r w:rsidRPr="004D26F3">
        <w:rPr>
          <w:rFonts w:ascii="Times New Roman" w:hAnsi="Times New Roman" w:cs="Times New Roman"/>
          <w:sz w:val="24"/>
          <w:szCs w:val="24"/>
        </w:rPr>
        <w:t>ee Diagram 1 below</w:t>
      </w:r>
      <w:r>
        <w:rPr>
          <w:rFonts w:ascii="Times New Roman" w:hAnsi="Times New Roman" w:cs="Times New Roman"/>
          <w:sz w:val="24"/>
          <w:szCs w:val="24"/>
        </w:rPr>
        <w:t xml:space="preserve">, which </w:t>
      </w:r>
      <w:r w:rsidRPr="004D26F3">
        <w:rPr>
          <w:rFonts w:ascii="Times New Roman" w:hAnsi="Times New Roman" w:cs="Times New Roman"/>
          <w:sz w:val="24"/>
          <w:szCs w:val="24"/>
        </w:rPr>
        <w:t>depicts</w:t>
      </w:r>
      <w:r w:rsidRPr="00920280">
        <w:rPr>
          <w:rFonts w:ascii="Times New Roman" w:hAnsi="Times New Roman" w:cs="Times New Roman"/>
          <w:sz w:val="24"/>
          <w:szCs w:val="24"/>
        </w:rPr>
        <w:t xml:space="preserve"> the cash flows being exchanged pursuant to this mutual pooling arrangement</w:t>
      </w:r>
      <w:r>
        <w:rPr>
          <w:rFonts w:ascii="Times New Roman" w:hAnsi="Times New Roman" w:cs="Times New Roman"/>
          <w:sz w:val="24"/>
          <w:szCs w:val="24"/>
        </w:rPr>
        <w:t xml:space="preserve"> (in 2010, for example)</w:t>
      </w:r>
      <w:r w:rsidRPr="00920280">
        <w:rPr>
          <w:rFonts w:ascii="Times New Roman" w:hAnsi="Times New Roman" w:cs="Times New Roman"/>
          <w:sz w:val="24"/>
          <w:szCs w:val="24"/>
        </w:rPr>
        <w:t>.</w:t>
      </w:r>
    </w:p>
    <w:p w14:paraId="3C549073" w14:textId="77777777" w:rsidR="000A2139" w:rsidRDefault="000A2139" w:rsidP="008D5290">
      <w:pPr>
        <w:spacing w:after="0" w:line="240" w:lineRule="auto"/>
        <w:rPr>
          <w:rFonts w:ascii="Times New Roman" w:hAnsi="Times New Roman" w:cs="Times New Roman"/>
          <w:sz w:val="24"/>
          <w:szCs w:val="24"/>
        </w:rPr>
      </w:pPr>
      <w:r>
        <w:rPr>
          <w:noProof/>
        </w:rPr>
        <w:lastRenderedPageBreak/>
        <w:drawing>
          <wp:inline distT="0" distB="0" distL="0" distR="0" wp14:anchorId="4BCE4042" wp14:editId="4283F02E">
            <wp:extent cx="5943600" cy="44418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4441825"/>
                    </a:xfrm>
                    <a:prstGeom prst="rect">
                      <a:avLst/>
                    </a:prstGeom>
                  </pic:spPr>
                </pic:pic>
              </a:graphicData>
            </a:graphic>
          </wp:inline>
        </w:drawing>
      </w:r>
    </w:p>
    <w:p w14:paraId="26B61943" w14:textId="77777777" w:rsidR="000A2139" w:rsidRDefault="000A2139" w:rsidP="00CE1893">
      <w:pPr>
        <w:spacing w:after="0" w:line="240" w:lineRule="auto"/>
        <w:rPr>
          <w:rFonts w:ascii="Times New Roman" w:hAnsi="Times New Roman" w:cs="Times New Roman"/>
          <w:sz w:val="24"/>
          <w:szCs w:val="24"/>
        </w:rPr>
      </w:pPr>
      <w:r>
        <w:rPr>
          <w:rFonts w:ascii="Times New Roman" w:hAnsi="Times New Roman" w:cs="Times New Roman"/>
          <w:sz w:val="24"/>
          <w:szCs w:val="24"/>
        </w:rPr>
        <w:t>Connoting that Reserve, the captive insurer, is the same as the insureds (“</w:t>
      </w:r>
      <w:r w:rsidRPr="00DA694B">
        <w:rPr>
          <w:rFonts w:ascii="Times New Roman" w:hAnsi="Times New Roman" w:cs="Times New Roman"/>
          <w:b/>
          <w:i/>
          <w:sz w:val="24"/>
          <w:szCs w:val="24"/>
        </w:rPr>
        <w:t>this arrangement looks suspiciously like a circular flow of funds</w:t>
      </w:r>
      <w:r>
        <w:rPr>
          <w:rFonts w:ascii="Times New Roman" w:hAnsi="Times New Roman" w:cs="Times New Roman"/>
          <w:sz w:val="24"/>
          <w:szCs w:val="24"/>
        </w:rPr>
        <w:t>”) without any explanation or analysis indicates the Court’s failure to understand the corporate distinctiveness of the Peak insureds and the regulated Reserve as insurer as well as the unaffiliated insurers and unaffiliated insureds in the overall insurance arrangement.  In effect, the Court suggested that a corporation and its pension plan trust are the same or that they constitute an improper circular flow of funds worthy of being disregarded despite the statutory basis for the arrangement.  Similarly, as this Court would have it, an individual is denied a deduction to a Health Savings Account, despite its statutory existence, because the HSA and the individual are the same.</w:t>
      </w:r>
    </w:p>
    <w:p w14:paraId="32F3F822" w14:textId="77777777" w:rsidR="000A2139" w:rsidRDefault="000A2139" w:rsidP="00CE1893">
      <w:pPr>
        <w:spacing w:after="0" w:line="240" w:lineRule="auto"/>
        <w:rPr>
          <w:rFonts w:ascii="Times New Roman" w:hAnsi="Times New Roman" w:cs="Times New Roman"/>
          <w:sz w:val="24"/>
          <w:szCs w:val="24"/>
        </w:rPr>
      </w:pPr>
    </w:p>
    <w:p w14:paraId="5482ED31" w14:textId="77777777" w:rsidR="000A2139" w:rsidRDefault="000A2139" w:rsidP="00CE1893">
      <w:pPr>
        <w:spacing w:after="0" w:line="240" w:lineRule="auto"/>
        <w:rPr>
          <w:rFonts w:ascii="Times New Roman" w:hAnsi="Times New Roman" w:cs="Times New Roman"/>
          <w:sz w:val="24"/>
          <w:szCs w:val="24"/>
        </w:rPr>
      </w:pPr>
      <w:r>
        <w:rPr>
          <w:rFonts w:ascii="Times New Roman" w:hAnsi="Times New Roman" w:cs="Times New Roman"/>
          <w:sz w:val="24"/>
          <w:szCs w:val="24"/>
        </w:rPr>
        <w:t>Indeed, the whole purpose of a captive insurance arrangement is to establish a separate but affiliated regulated insurance entity, the insurer, that participates in bearing the fortuitous risks of insureds.  There is no prohibition or restriction that in any way prevents the insureds and insurer from being related.  Indeed, in recent legislation, Congress, practically speaking, mandates that the insureds and the insurer have “mirror ownership” under the 2017 amendments to IRC Section 831(b)(2)(B).</w:t>
      </w:r>
      <w:r>
        <w:rPr>
          <w:rStyle w:val="EndnoteReference"/>
          <w:rFonts w:ascii="Times New Roman" w:hAnsi="Times New Roman" w:cs="Times New Roman"/>
          <w:sz w:val="24"/>
          <w:szCs w:val="24"/>
        </w:rPr>
        <w:endnoteReference w:id="81"/>
      </w:r>
    </w:p>
    <w:p w14:paraId="3DD25D86" w14:textId="77777777" w:rsidR="000A2139" w:rsidRDefault="000A2139" w:rsidP="00CE1893">
      <w:pPr>
        <w:spacing w:after="0" w:line="240" w:lineRule="auto"/>
        <w:rPr>
          <w:rFonts w:ascii="Times New Roman" w:hAnsi="Times New Roman" w:cs="Times New Roman"/>
          <w:sz w:val="24"/>
          <w:szCs w:val="24"/>
        </w:rPr>
      </w:pPr>
    </w:p>
    <w:p w14:paraId="4A5AA6A9" w14:textId="52DEBFF3" w:rsidR="000A2139" w:rsidRDefault="000A2139" w:rsidP="00CE189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Court’s focus on the ownership of Reserve relative to the identical ownership of Peak insured’s ignores the statutory provision and the existence of the diversified pooling arrangement comprising the risks under hundreds of unaffiliated policies assumed, the claims paid by Reserve </w:t>
      </w:r>
      <w:r>
        <w:rPr>
          <w:rFonts w:ascii="Times New Roman" w:hAnsi="Times New Roman" w:cs="Times New Roman"/>
          <w:sz w:val="24"/>
          <w:szCs w:val="24"/>
        </w:rPr>
        <w:lastRenderedPageBreak/>
        <w:t xml:space="preserve">to insureds for covered losses, the substantial funds retained by PoolRe during each policy year to fund potential losses, and the conditions that were required to be satisfied before any money could potentially be returned to the participating captives under the terms of the quota share </w:t>
      </w:r>
      <w:r w:rsidRPr="00A8711D">
        <w:rPr>
          <w:rFonts w:ascii="Times New Roman" w:hAnsi="Times New Roman" w:cs="Times New Roman"/>
          <w:sz w:val="24"/>
          <w:szCs w:val="24"/>
        </w:rPr>
        <w:t>arrangement with respect to the stop loss coverage provided by PoolRe.  In doing so, the Court conflated Reserve, the regulated insurer, with the Peak insureds, ignoring both the form and substance of the transaction</w:t>
      </w:r>
      <w:r>
        <w:rPr>
          <w:rFonts w:ascii="Times New Roman" w:hAnsi="Times New Roman" w:cs="Times New Roman"/>
          <w:sz w:val="24"/>
          <w:szCs w:val="24"/>
        </w:rPr>
        <w:t xml:space="preserve">.  </w:t>
      </w:r>
      <w:r w:rsidRPr="00A8711D">
        <w:rPr>
          <w:rFonts w:ascii="Times New Roman" w:hAnsi="Times New Roman" w:cs="Times New Roman"/>
          <w:sz w:val="24"/>
          <w:szCs w:val="24"/>
        </w:rPr>
        <w:t xml:space="preserve">In </w:t>
      </w:r>
      <w:r w:rsidRPr="00A8711D">
        <w:rPr>
          <w:rFonts w:ascii="Times New Roman" w:hAnsi="Times New Roman" w:cs="Times New Roman"/>
          <w:i/>
          <w:sz w:val="24"/>
          <w:szCs w:val="24"/>
        </w:rPr>
        <w:t>Reserve</w:t>
      </w:r>
      <w:r w:rsidRPr="00A8711D">
        <w:rPr>
          <w:rFonts w:ascii="Times New Roman" w:hAnsi="Times New Roman" w:cs="Times New Roman"/>
          <w:sz w:val="24"/>
          <w:szCs w:val="24"/>
        </w:rPr>
        <w:t xml:space="preserve">, the Court chose to </w:t>
      </w:r>
      <w:r>
        <w:rPr>
          <w:rFonts w:ascii="Times New Roman" w:hAnsi="Times New Roman" w:cs="Times New Roman"/>
          <w:sz w:val="24"/>
          <w:szCs w:val="24"/>
        </w:rPr>
        <w:t xml:space="preserve">cast aside </w:t>
      </w:r>
      <w:r w:rsidRPr="00A8711D">
        <w:rPr>
          <w:rFonts w:ascii="Times New Roman" w:hAnsi="Times New Roman" w:cs="Times New Roman"/>
          <w:sz w:val="24"/>
          <w:szCs w:val="24"/>
        </w:rPr>
        <w:t>an expressly provided statutory provision (Section 501(c)(15))</w:t>
      </w:r>
      <w:r>
        <w:rPr>
          <w:rFonts w:ascii="Times New Roman" w:hAnsi="Times New Roman" w:cs="Times New Roman"/>
          <w:sz w:val="24"/>
          <w:szCs w:val="24"/>
        </w:rPr>
        <w:t xml:space="preserve">.  </w:t>
      </w:r>
      <w:r w:rsidRPr="00A8711D">
        <w:rPr>
          <w:rFonts w:ascii="Times New Roman" w:hAnsi="Times New Roman" w:cs="Times New Roman"/>
          <w:sz w:val="24"/>
          <w:szCs w:val="24"/>
        </w:rPr>
        <w:t xml:space="preserve">This same Court has recently been criticized and reversed </w:t>
      </w:r>
      <w:r>
        <w:rPr>
          <w:rFonts w:ascii="Times New Roman" w:hAnsi="Times New Roman" w:cs="Times New Roman"/>
          <w:sz w:val="24"/>
          <w:szCs w:val="24"/>
        </w:rPr>
        <w:t>(</w:t>
      </w:r>
      <w:r w:rsidRPr="00A8711D">
        <w:rPr>
          <w:rFonts w:ascii="Times New Roman" w:hAnsi="Times New Roman" w:cs="Times New Roman"/>
          <w:sz w:val="24"/>
          <w:szCs w:val="24"/>
        </w:rPr>
        <w:t xml:space="preserve">by </w:t>
      </w:r>
      <w:r>
        <w:rPr>
          <w:rFonts w:ascii="Times New Roman" w:hAnsi="Times New Roman" w:cs="Times New Roman"/>
          <w:sz w:val="24"/>
          <w:szCs w:val="24"/>
        </w:rPr>
        <w:t xml:space="preserve">two separate </w:t>
      </w:r>
      <w:r w:rsidRPr="00A8711D">
        <w:rPr>
          <w:rFonts w:ascii="Times New Roman" w:hAnsi="Times New Roman" w:cs="Times New Roman"/>
          <w:sz w:val="24"/>
          <w:szCs w:val="24"/>
        </w:rPr>
        <w:t>appellate courts</w:t>
      </w:r>
      <w:r>
        <w:rPr>
          <w:rFonts w:ascii="Times New Roman" w:hAnsi="Times New Roman" w:cs="Times New Roman"/>
          <w:sz w:val="24"/>
          <w:szCs w:val="24"/>
        </w:rPr>
        <w:t>)</w:t>
      </w:r>
      <w:r w:rsidRPr="00A8711D">
        <w:rPr>
          <w:rFonts w:ascii="Times New Roman" w:hAnsi="Times New Roman" w:cs="Times New Roman"/>
          <w:sz w:val="24"/>
          <w:szCs w:val="24"/>
        </w:rPr>
        <w:t xml:space="preserve"> for its attempt to ignore express </w:t>
      </w:r>
      <w:r>
        <w:rPr>
          <w:rFonts w:ascii="Times New Roman" w:hAnsi="Times New Roman" w:cs="Times New Roman"/>
          <w:sz w:val="24"/>
          <w:szCs w:val="24"/>
        </w:rPr>
        <w:t>legislation</w:t>
      </w:r>
      <w:r w:rsidRPr="00A8711D">
        <w:rPr>
          <w:rFonts w:ascii="Times New Roman" w:hAnsi="Times New Roman" w:cs="Times New Roman"/>
          <w:sz w:val="24"/>
          <w:szCs w:val="24"/>
        </w:rPr>
        <w:t xml:space="preserve"> </w:t>
      </w:r>
      <w:r>
        <w:rPr>
          <w:rFonts w:ascii="Times New Roman" w:hAnsi="Times New Roman" w:cs="Times New Roman"/>
          <w:sz w:val="24"/>
          <w:szCs w:val="24"/>
        </w:rPr>
        <w:t xml:space="preserve">authorized by Congress and attempting to </w:t>
      </w:r>
      <w:r w:rsidRPr="00A8711D">
        <w:rPr>
          <w:rFonts w:ascii="Times New Roman" w:hAnsi="Times New Roman" w:cs="Times New Roman"/>
          <w:sz w:val="24"/>
          <w:szCs w:val="24"/>
        </w:rPr>
        <w:t xml:space="preserve">apply </w:t>
      </w:r>
      <w:r>
        <w:rPr>
          <w:rFonts w:ascii="Times New Roman" w:hAnsi="Times New Roman" w:cs="Times New Roman"/>
          <w:sz w:val="24"/>
          <w:szCs w:val="24"/>
        </w:rPr>
        <w:t xml:space="preserve">its version of </w:t>
      </w:r>
      <w:r w:rsidRPr="00A8711D">
        <w:rPr>
          <w:rFonts w:ascii="Times New Roman" w:hAnsi="Times New Roman" w:cs="Times New Roman"/>
          <w:sz w:val="24"/>
          <w:szCs w:val="24"/>
        </w:rPr>
        <w:t xml:space="preserve">“substance over form” to transactions where </w:t>
      </w:r>
      <w:r>
        <w:rPr>
          <w:rFonts w:ascii="Times New Roman" w:hAnsi="Times New Roman" w:cs="Times New Roman"/>
          <w:sz w:val="24"/>
          <w:szCs w:val="24"/>
        </w:rPr>
        <w:t>a</w:t>
      </w:r>
      <w:r w:rsidRPr="00A8711D">
        <w:rPr>
          <w:rFonts w:ascii="Times New Roman" w:hAnsi="Times New Roman" w:cs="Times New Roman"/>
          <w:sz w:val="24"/>
          <w:szCs w:val="24"/>
        </w:rPr>
        <w:t xml:space="preserve"> taxpayer complied with</w:t>
      </w:r>
      <w:r>
        <w:rPr>
          <w:rFonts w:ascii="Times New Roman" w:hAnsi="Times New Roman" w:cs="Times New Roman"/>
          <w:sz w:val="24"/>
          <w:szCs w:val="24"/>
        </w:rPr>
        <w:t xml:space="preserve"> </w:t>
      </w:r>
      <w:r w:rsidRPr="00A8711D">
        <w:rPr>
          <w:rFonts w:ascii="Times New Roman" w:hAnsi="Times New Roman" w:cs="Times New Roman"/>
          <w:sz w:val="24"/>
          <w:szCs w:val="24"/>
        </w:rPr>
        <w:t>express provisions authorized by Congress.</w:t>
      </w:r>
      <w:r w:rsidRPr="00A8711D">
        <w:rPr>
          <w:rStyle w:val="EndnoteReference"/>
          <w:rFonts w:ascii="Times New Roman" w:hAnsi="Times New Roman" w:cs="Times New Roman"/>
          <w:sz w:val="24"/>
          <w:szCs w:val="24"/>
        </w:rPr>
        <w:endnoteReference w:id="82"/>
      </w:r>
    </w:p>
    <w:p w14:paraId="12B87817" w14:textId="77777777" w:rsidR="000A2139" w:rsidRDefault="000A2139" w:rsidP="008D5290">
      <w:pPr>
        <w:spacing w:after="0" w:line="240" w:lineRule="auto"/>
        <w:rPr>
          <w:rFonts w:ascii="Times New Roman" w:hAnsi="Times New Roman" w:cs="Times New Roman"/>
          <w:sz w:val="24"/>
          <w:szCs w:val="24"/>
        </w:rPr>
      </w:pPr>
    </w:p>
    <w:p w14:paraId="49E3C3E6" w14:textId="7EA68E9B" w:rsidR="000A2139" w:rsidRDefault="000A2139" w:rsidP="008D529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terms of risk diversification, Dr. Doherty’s testimony made clear that </w:t>
      </w:r>
      <w:r w:rsidRPr="00A245BD">
        <w:rPr>
          <w:rFonts w:ascii="Times New Roman" w:hAnsi="Times New Roman" w:cs="Times New Roman"/>
          <w:sz w:val="24"/>
          <w:szCs w:val="24"/>
        </w:rPr>
        <w:t>PoolRe</w:t>
      </w:r>
      <w:r>
        <w:rPr>
          <w:rFonts w:ascii="Times New Roman" w:hAnsi="Times New Roman" w:cs="Times New Roman"/>
          <w:sz w:val="24"/>
          <w:szCs w:val="24"/>
        </w:rPr>
        <w:t>’s role</w:t>
      </w:r>
      <w:r w:rsidRPr="00A245BD">
        <w:rPr>
          <w:rFonts w:ascii="Times New Roman" w:hAnsi="Times New Roman" w:cs="Times New Roman"/>
          <w:sz w:val="24"/>
          <w:szCs w:val="24"/>
        </w:rPr>
        <w:t xml:space="preserve"> was</w:t>
      </w:r>
      <w:r>
        <w:rPr>
          <w:rFonts w:ascii="Times New Roman" w:hAnsi="Times New Roman" w:cs="Times New Roman"/>
          <w:sz w:val="24"/>
          <w:szCs w:val="24"/>
        </w:rPr>
        <w:t xml:space="preserve"> to insure </w:t>
      </w:r>
      <w:r w:rsidRPr="00A245BD">
        <w:rPr>
          <w:rFonts w:ascii="Times New Roman" w:hAnsi="Times New Roman" w:cs="Times New Roman"/>
          <w:sz w:val="24"/>
          <w:szCs w:val="24"/>
        </w:rPr>
        <w:t xml:space="preserve">the </w:t>
      </w:r>
      <w:r>
        <w:rPr>
          <w:rFonts w:ascii="Times New Roman" w:hAnsi="Times New Roman" w:cs="Times New Roman"/>
          <w:sz w:val="24"/>
          <w:szCs w:val="24"/>
        </w:rPr>
        <w:t xml:space="preserve">higher </w:t>
      </w:r>
      <w:r w:rsidRPr="00A245BD">
        <w:rPr>
          <w:rFonts w:ascii="Times New Roman" w:hAnsi="Times New Roman" w:cs="Times New Roman"/>
          <w:sz w:val="24"/>
          <w:szCs w:val="24"/>
        </w:rPr>
        <w:t xml:space="preserve">layer of </w:t>
      </w:r>
      <w:r>
        <w:rPr>
          <w:rFonts w:ascii="Times New Roman" w:hAnsi="Times New Roman" w:cs="Times New Roman"/>
          <w:sz w:val="24"/>
          <w:szCs w:val="24"/>
        </w:rPr>
        <w:t>losses which gives each participating captive a comfortable “safety net” to remain financially viable despite the fortuity of a large covered loss.</w:t>
      </w:r>
      <w:r>
        <w:rPr>
          <w:rStyle w:val="EndnoteReference"/>
          <w:rFonts w:ascii="Times New Roman" w:hAnsi="Times New Roman" w:cs="Times New Roman"/>
          <w:sz w:val="24"/>
          <w:szCs w:val="24"/>
        </w:rPr>
        <w:endnoteReference w:id="83"/>
      </w:r>
      <w:r>
        <w:rPr>
          <w:rFonts w:ascii="Times New Roman" w:hAnsi="Times New Roman" w:cs="Times New Roman"/>
          <w:sz w:val="24"/>
          <w:szCs w:val="24"/>
        </w:rPr>
        <w:t xml:space="preserve">  </w:t>
      </w:r>
      <w:r w:rsidRPr="00DB275D">
        <w:rPr>
          <w:rFonts w:ascii="Times New Roman" w:hAnsi="Times New Roman" w:cs="Times New Roman"/>
          <w:sz w:val="24"/>
          <w:szCs w:val="24"/>
        </w:rPr>
        <w:t xml:space="preserve">No </w:t>
      </w:r>
      <w:r>
        <w:rPr>
          <w:rFonts w:ascii="Times New Roman" w:hAnsi="Times New Roman" w:cs="Times New Roman"/>
          <w:sz w:val="24"/>
          <w:szCs w:val="24"/>
        </w:rPr>
        <w:t>witness</w:t>
      </w:r>
      <w:r w:rsidRPr="00DB275D">
        <w:rPr>
          <w:rFonts w:ascii="Times New Roman" w:hAnsi="Times New Roman" w:cs="Times New Roman"/>
          <w:sz w:val="24"/>
          <w:szCs w:val="24"/>
        </w:rPr>
        <w:t xml:space="preserve"> suggested a different purpose</w:t>
      </w:r>
      <w:r>
        <w:rPr>
          <w:rFonts w:ascii="Times New Roman" w:hAnsi="Times New Roman" w:cs="Times New Roman"/>
          <w:sz w:val="24"/>
          <w:szCs w:val="24"/>
        </w:rPr>
        <w:t>.</w:t>
      </w:r>
    </w:p>
    <w:p w14:paraId="41DF3B93" w14:textId="77777777" w:rsidR="000A2139" w:rsidRDefault="000A2139" w:rsidP="008D5290">
      <w:pPr>
        <w:spacing w:after="0" w:line="240" w:lineRule="auto"/>
        <w:rPr>
          <w:rFonts w:ascii="Times New Roman" w:hAnsi="Times New Roman" w:cs="Times New Roman"/>
          <w:sz w:val="24"/>
          <w:szCs w:val="24"/>
        </w:rPr>
      </w:pPr>
    </w:p>
    <w:p w14:paraId="2BFD5B42" w14:textId="13895F39" w:rsidR="000A2139" w:rsidRDefault="000A2139" w:rsidP="008D529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Robert Snyder also testified at trial that PoolRe’s pooling and quota share </w:t>
      </w:r>
      <w:r w:rsidRPr="009078E2">
        <w:rPr>
          <w:rFonts w:ascii="Times New Roman" w:hAnsi="Times New Roman" w:cs="Times New Roman"/>
          <w:sz w:val="24"/>
          <w:szCs w:val="24"/>
        </w:rPr>
        <w:t>arrangement</w:t>
      </w:r>
      <w:r>
        <w:rPr>
          <w:rFonts w:ascii="Times New Roman" w:hAnsi="Times New Roman" w:cs="Times New Roman"/>
          <w:sz w:val="24"/>
          <w:szCs w:val="24"/>
        </w:rPr>
        <w:t xml:space="preserve"> is</w:t>
      </w:r>
      <w:r w:rsidRPr="009078E2">
        <w:rPr>
          <w:rFonts w:ascii="Times New Roman" w:hAnsi="Times New Roman" w:cs="Times New Roman"/>
          <w:sz w:val="24"/>
          <w:szCs w:val="24"/>
        </w:rPr>
        <w:t xml:space="preserve"> </w:t>
      </w:r>
      <w:r>
        <w:rPr>
          <w:rFonts w:ascii="Times New Roman" w:hAnsi="Times New Roman" w:cs="Times New Roman"/>
          <w:sz w:val="24"/>
          <w:szCs w:val="24"/>
        </w:rPr>
        <w:t xml:space="preserve">a </w:t>
      </w:r>
      <w:r w:rsidRPr="009078E2">
        <w:rPr>
          <w:rFonts w:ascii="Times New Roman" w:hAnsi="Times New Roman" w:cs="Times New Roman"/>
          <w:sz w:val="24"/>
          <w:szCs w:val="24"/>
        </w:rPr>
        <w:t>common</w:t>
      </w:r>
      <w:r>
        <w:rPr>
          <w:rFonts w:ascii="Times New Roman" w:hAnsi="Times New Roman" w:cs="Times New Roman"/>
          <w:sz w:val="24"/>
          <w:szCs w:val="24"/>
        </w:rPr>
        <w:t xml:space="preserve"> reinsurance arrangement.</w:t>
      </w:r>
      <w:r>
        <w:rPr>
          <w:rStyle w:val="EndnoteReference"/>
          <w:rFonts w:ascii="Times New Roman" w:hAnsi="Times New Roman" w:cs="Times New Roman"/>
          <w:sz w:val="24"/>
          <w:szCs w:val="24"/>
        </w:rPr>
        <w:endnoteReference w:id="84"/>
      </w:r>
      <w:r>
        <w:rPr>
          <w:rFonts w:ascii="Times New Roman" w:hAnsi="Times New Roman" w:cs="Times New Roman"/>
          <w:sz w:val="24"/>
          <w:szCs w:val="24"/>
        </w:rPr>
        <w:t xml:space="preserve">  Nonetheless, the Court, without citing to any evidence to support its finding, erroneously accepted the government’s contention that PoolRe’s common quota share arrangement only provided “the </w:t>
      </w:r>
      <w:r w:rsidRPr="005C0175">
        <w:rPr>
          <w:rFonts w:ascii="Times New Roman" w:hAnsi="Times New Roman" w:cs="Times New Roman"/>
          <w:sz w:val="24"/>
          <w:szCs w:val="24"/>
        </w:rPr>
        <w:t>appearance of risk distribution without actually distributing any risk</w:t>
      </w:r>
      <w:r>
        <w:rPr>
          <w:rFonts w:ascii="Times New Roman" w:hAnsi="Times New Roman" w:cs="Times New Roman"/>
          <w:sz w:val="24"/>
          <w:szCs w:val="24"/>
        </w:rPr>
        <w:t>.”</w:t>
      </w:r>
      <w:r>
        <w:rPr>
          <w:rStyle w:val="EndnoteReference"/>
          <w:rFonts w:ascii="Times New Roman" w:hAnsi="Times New Roman" w:cs="Times New Roman"/>
          <w:sz w:val="24"/>
          <w:szCs w:val="24"/>
        </w:rPr>
        <w:endnoteReference w:id="85"/>
      </w:r>
      <w:r>
        <w:rPr>
          <w:rFonts w:ascii="Times New Roman" w:hAnsi="Times New Roman" w:cs="Times New Roman"/>
          <w:sz w:val="24"/>
          <w:szCs w:val="24"/>
        </w:rPr>
        <w:t xml:space="preserve">  </w:t>
      </w:r>
      <w:r w:rsidRPr="00877F35">
        <w:rPr>
          <w:rFonts w:ascii="Times New Roman" w:hAnsi="Times New Roman" w:cs="Times New Roman"/>
          <w:i/>
          <w:sz w:val="24"/>
          <w:szCs w:val="24"/>
        </w:rPr>
        <w:t>See also</w:t>
      </w:r>
      <w:r>
        <w:rPr>
          <w:rFonts w:ascii="Times New Roman" w:hAnsi="Times New Roman" w:cs="Times New Roman"/>
          <w:sz w:val="24"/>
          <w:szCs w:val="24"/>
        </w:rPr>
        <w:t xml:space="preserve"> a</w:t>
      </w:r>
      <w:r w:rsidRPr="00651E5D">
        <w:rPr>
          <w:rFonts w:ascii="Times New Roman" w:hAnsi="Times New Roman" w:cs="Times New Roman"/>
          <w:sz w:val="24"/>
          <w:szCs w:val="24"/>
        </w:rPr>
        <w:t xml:space="preserve"> recent </w:t>
      </w:r>
      <w:r>
        <w:rPr>
          <w:rFonts w:ascii="Times New Roman" w:hAnsi="Times New Roman" w:cs="Times New Roman"/>
          <w:sz w:val="24"/>
          <w:szCs w:val="24"/>
        </w:rPr>
        <w:t>article published</w:t>
      </w:r>
      <w:r w:rsidRPr="00651E5D">
        <w:rPr>
          <w:rFonts w:ascii="Times New Roman" w:hAnsi="Times New Roman" w:cs="Times New Roman"/>
          <w:sz w:val="24"/>
          <w:szCs w:val="24"/>
        </w:rPr>
        <w:t xml:space="preserve"> in Captive Review</w:t>
      </w:r>
      <w:r>
        <w:rPr>
          <w:rFonts w:ascii="Times New Roman" w:hAnsi="Times New Roman" w:cs="Times New Roman"/>
          <w:sz w:val="24"/>
          <w:szCs w:val="24"/>
        </w:rPr>
        <w:t xml:space="preserve"> by reinsurance expert Oliver Schofield, commenting that the </w:t>
      </w:r>
      <w:r w:rsidRPr="00651E5D">
        <w:rPr>
          <w:rFonts w:ascii="Times New Roman" w:hAnsi="Times New Roman" w:cs="Times New Roman"/>
          <w:sz w:val="24"/>
          <w:szCs w:val="24"/>
        </w:rPr>
        <w:t xml:space="preserve">PoolRe pooling arrangement </w:t>
      </w:r>
      <w:r>
        <w:rPr>
          <w:rFonts w:ascii="Times New Roman" w:hAnsi="Times New Roman" w:cs="Times New Roman"/>
          <w:sz w:val="24"/>
          <w:szCs w:val="24"/>
        </w:rPr>
        <w:t xml:space="preserve">was </w:t>
      </w:r>
      <w:r w:rsidRPr="00651E5D">
        <w:rPr>
          <w:rFonts w:ascii="Times New Roman" w:hAnsi="Times New Roman" w:cs="Times New Roman"/>
          <w:sz w:val="24"/>
          <w:szCs w:val="24"/>
        </w:rPr>
        <w:t>an effective reinsurance structure for achieving risk distribution. Mr. Schofield explain</w:t>
      </w:r>
      <w:r>
        <w:rPr>
          <w:rFonts w:ascii="Times New Roman" w:hAnsi="Times New Roman" w:cs="Times New Roman"/>
          <w:sz w:val="24"/>
          <w:szCs w:val="24"/>
        </w:rPr>
        <w:t>ed</w:t>
      </w:r>
      <w:r w:rsidRPr="00651E5D">
        <w:rPr>
          <w:rFonts w:ascii="Times New Roman" w:hAnsi="Times New Roman" w:cs="Times New Roman"/>
          <w:sz w:val="24"/>
          <w:szCs w:val="24"/>
        </w:rPr>
        <w:t xml:space="preserve"> that captive reinsurance is well established as an </w:t>
      </w:r>
      <w:r w:rsidRPr="003052C5">
        <w:rPr>
          <w:rFonts w:ascii="Times New Roman" w:hAnsi="Times New Roman" w:cs="Times New Roman"/>
          <w:sz w:val="24"/>
          <w:szCs w:val="24"/>
        </w:rPr>
        <w:t>effective way of ensuring that captives do not “end up in the mortuary chapel” and emphasize</w:t>
      </w:r>
      <w:r>
        <w:rPr>
          <w:rFonts w:ascii="Times New Roman" w:hAnsi="Times New Roman" w:cs="Times New Roman"/>
          <w:sz w:val="24"/>
          <w:szCs w:val="24"/>
        </w:rPr>
        <w:t>d</w:t>
      </w:r>
      <w:r w:rsidRPr="003052C5">
        <w:rPr>
          <w:rFonts w:ascii="Times New Roman" w:hAnsi="Times New Roman" w:cs="Times New Roman"/>
          <w:sz w:val="24"/>
          <w:szCs w:val="24"/>
        </w:rPr>
        <w:t xml:space="preserve"> that the reinsurance structure for a captive “should be [recognized] as being critical to a captive’s longevity.”</w:t>
      </w:r>
      <w:r w:rsidRPr="003052C5">
        <w:rPr>
          <w:rStyle w:val="EndnoteReference"/>
          <w:rFonts w:ascii="Times New Roman" w:hAnsi="Times New Roman" w:cs="Times New Roman"/>
          <w:sz w:val="24"/>
          <w:szCs w:val="24"/>
        </w:rPr>
        <w:endnoteReference w:id="86"/>
      </w:r>
      <w:r>
        <w:rPr>
          <w:rFonts w:ascii="Times New Roman" w:hAnsi="Times New Roman" w:cs="Times New Roman"/>
          <w:sz w:val="24"/>
          <w:szCs w:val="24"/>
        </w:rPr>
        <w:t xml:space="preserve">  Insurance treatises and scholarly articles have long recognized the role of captive reinsurance</w:t>
      </w:r>
      <w:r>
        <w:rPr>
          <w:rStyle w:val="EndnoteReference"/>
          <w:rFonts w:ascii="Times New Roman" w:hAnsi="Times New Roman" w:cs="Times New Roman"/>
          <w:sz w:val="24"/>
          <w:szCs w:val="24"/>
        </w:rPr>
        <w:endnoteReference w:id="87"/>
      </w:r>
      <w:r>
        <w:rPr>
          <w:rFonts w:ascii="Times New Roman" w:hAnsi="Times New Roman" w:cs="Times New Roman"/>
          <w:sz w:val="24"/>
          <w:szCs w:val="24"/>
        </w:rPr>
        <w:t xml:space="preserve"> and its common usage of “stop loss” reinsurance or “excess of loss ratio” reinsurance arrangements as a means of controlling the loss ratio of an insurance company participating in a reinsurance pool.</w:t>
      </w:r>
      <w:r>
        <w:rPr>
          <w:rStyle w:val="EndnoteReference"/>
          <w:rFonts w:ascii="Times New Roman" w:hAnsi="Times New Roman" w:cs="Times New Roman"/>
          <w:sz w:val="24"/>
          <w:szCs w:val="24"/>
        </w:rPr>
        <w:endnoteReference w:id="88"/>
      </w:r>
      <w:r>
        <w:rPr>
          <w:rFonts w:ascii="Times New Roman" w:hAnsi="Times New Roman" w:cs="Times New Roman"/>
          <w:sz w:val="24"/>
          <w:szCs w:val="24"/>
        </w:rPr>
        <w:t xml:space="preserve">  All the meanwhile, none of the fact or expert witnesses testified on or even suggested the criticism of the pooling arrangement that the Court developed on its own, controverting all of the witnesses by </w:t>
      </w:r>
      <w:r w:rsidR="00994A10">
        <w:rPr>
          <w:rFonts w:ascii="Times New Roman" w:hAnsi="Times New Roman" w:cs="Times New Roman"/>
          <w:sz w:val="24"/>
          <w:szCs w:val="24"/>
        </w:rPr>
        <w:t xml:space="preserve">erroneously </w:t>
      </w:r>
      <w:r>
        <w:rPr>
          <w:rFonts w:ascii="Times New Roman" w:hAnsi="Times New Roman" w:cs="Times New Roman"/>
          <w:sz w:val="24"/>
          <w:szCs w:val="24"/>
        </w:rPr>
        <w:t xml:space="preserve">citing to the facts </w:t>
      </w:r>
      <w:r w:rsidR="00741F28">
        <w:rPr>
          <w:rFonts w:ascii="Times New Roman" w:hAnsi="Times New Roman" w:cs="Times New Roman"/>
          <w:sz w:val="24"/>
          <w:szCs w:val="24"/>
        </w:rPr>
        <w:t>that were present in</w:t>
      </w:r>
      <w:r>
        <w:rPr>
          <w:rFonts w:ascii="Times New Roman" w:hAnsi="Times New Roman" w:cs="Times New Roman"/>
          <w:sz w:val="24"/>
          <w:szCs w:val="24"/>
        </w:rPr>
        <w:t xml:space="preserve"> </w:t>
      </w:r>
      <w:r w:rsidRPr="00F3427D">
        <w:rPr>
          <w:rFonts w:ascii="Times New Roman" w:hAnsi="Times New Roman" w:cs="Times New Roman"/>
          <w:i/>
          <w:sz w:val="24"/>
          <w:szCs w:val="24"/>
        </w:rPr>
        <w:t>Avrahami</w:t>
      </w:r>
      <w:r w:rsidR="00994A10">
        <w:rPr>
          <w:rFonts w:ascii="Times New Roman" w:hAnsi="Times New Roman" w:cs="Times New Roman"/>
          <w:sz w:val="24"/>
          <w:szCs w:val="24"/>
        </w:rPr>
        <w:t>.</w:t>
      </w:r>
    </w:p>
    <w:p w14:paraId="31A2B930" w14:textId="77777777" w:rsidR="000A2139" w:rsidRPr="00F27C5C" w:rsidRDefault="000A2139" w:rsidP="00F27C5C">
      <w:pPr>
        <w:spacing w:after="0" w:line="240" w:lineRule="auto"/>
        <w:rPr>
          <w:rFonts w:ascii="Times New Roman" w:hAnsi="Times New Roman" w:cs="Times New Roman"/>
          <w:sz w:val="24"/>
          <w:szCs w:val="24"/>
        </w:rPr>
      </w:pPr>
    </w:p>
    <w:p w14:paraId="4AA7217B" w14:textId="77777777" w:rsidR="000A2139" w:rsidRDefault="000A2139" w:rsidP="00F27C5C">
      <w:pPr>
        <w:spacing w:after="0" w:line="240" w:lineRule="auto"/>
        <w:rPr>
          <w:rFonts w:ascii="Times New Roman" w:hAnsi="Times New Roman" w:cs="Times New Roman"/>
          <w:sz w:val="24"/>
          <w:szCs w:val="24"/>
        </w:rPr>
      </w:pPr>
      <w:r w:rsidRPr="00F27C5C">
        <w:rPr>
          <w:rFonts w:ascii="Times New Roman" w:hAnsi="Times New Roman" w:cs="Times New Roman"/>
          <w:sz w:val="24"/>
          <w:szCs w:val="24"/>
        </w:rPr>
        <w:t>In summary, the Court erroneously concluded that insurer Reserve and the hundreds of insureds were one and the same, with the result that a “circular flow of funds” existed.</w:t>
      </w:r>
    </w:p>
    <w:p w14:paraId="08BC4A9F" w14:textId="77777777" w:rsidR="000A2139" w:rsidRDefault="000A2139" w:rsidP="008D5290">
      <w:pPr>
        <w:spacing w:after="0" w:line="240" w:lineRule="auto"/>
        <w:rPr>
          <w:rFonts w:ascii="Times New Roman" w:hAnsi="Times New Roman" w:cs="Times New Roman"/>
          <w:sz w:val="24"/>
          <w:szCs w:val="24"/>
        </w:rPr>
      </w:pPr>
    </w:p>
    <w:p w14:paraId="3A876E8F" w14:textId="77777777" w:rsidR="000A2139" w:rsidRPr="00E07891" w:rsidRDefault="000A2139" w:rsidP="00E07891">
      <w:pPr>
        <w:pStyle w:val="Heading3"/>
        <w:spacing w:before="0" w:line="240" w:lineRule="auto"/>
        <w:rPr>
          <w:rFonts w:ascii="Times New Roman" w:hAnsi="Times New Roman" w:cs="Times New Roman"/>
          <w:b/>
          <w:color w:val="auto"/>
        </w:rPr>
      </w:pPr>
      <w:bookmarkStart w:id="31" w:name="_Toc534366177"/>
      <w:r w:rsidRPr="00E07891">
        <w:rPr>
          <w:rFonts w:ascii="Times New Roman" w:hAnsi="Times New Roman" w:cs="Times New Roman"/>
          <w:b/>
          <w:color w:val="auto"/>
        </w:rPr>
        <w:t>2.  Arm’s-Length Contracts</w:t>
      </w:r>
      <w:bookmarkEnd w:id="31"/>
    </w:p>
    <w:p w14:paraId="78A931A6" w14:textId="77777777" w:rsidR="000A2139" w:rsidRDefault="000A2139" w:rsidP="00597506">
      <w:pPr>
        <w:spacing w:after="0" w:line="240" w:lineRule="auto"/>
        <w:rPr>
          <w:rFonts w:ascii="Times New Roman" w:hAnsi="Times New Roman" w:cs="Times New Roman"/>
          <w:sz w:val="24"/>
          <w:szCs w:val="24"/>
        </w:rPr>
      </w:pPr>
    </w:p>
    <w:p w14:paraId="0DE29502" w14:textId="77777777" w:rsidR="000A2139" w:rsidRDefault="000A2139" w:rsidP="0035629B">
      <w:pPr>
        <w:spacing w:after="0" w:line="240" w:lineRule="auto"/>
        <w:rPr>
          <w:rFonts w:ascii="Times New Roman" w:hAnsi="Times New Roman" w:cs="Times New Roman"/>
          <w:sz w:val="24"/>
          <w:szCs w:val="24"/>
        </w:rPr>
      </w:pPr>
      <w:r>
        <w:rPr>
          <w:rFonts w:ascii="Times New Roman" w:hAnsi="Times New Roman" w:cs="Times New Roman"/>
          <w:sz w:val="24"/>
          <w:szCs w:val="24"/>
        </w:rPr>
        <w:t>In analyzing this factor, the Court stated as follows:</w:t>
      </w:r>
    </w:p>
    <w:p w14:paraId="487B3030" w14:textId="77777777" w:rsidR="000A2139" w:rsidRDefault="000A2139" w:rsidP="0035629B">
      <w:pPr>
        <w:spacing w:after="0" w:line="240" w:lineRule="auto"/>
        <w:rPr>
          <w:rFonts w:ascii="Times New Roman" w:hAnsi="Times New Roman" w:cs="Times New Roman"/>
          <w:sz w:val="24"/>
          <w:szCs w:val="24"/>
        </w:rPr>
      </w:pPr>
    </w:p>
    <w:p w14:paraId="38F47FB3" w14:textId="77777777" w:rsidR="000A2139" w:rsidRDefault="000A2139" w:rsidP="00751EE5">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w:t>
      </w:r>
      <w:r w:rsidRPr="00751EE5">
        <w:rPr>
          <w:rFonts w:ascii="Times New Roman" w:hAnsi="Times New Roman" w:cs="Times New Roman"/>
          <w:b/>
          <w:i/>
          <w:sz w:val="24"/>
          <w:szCs w:val="24"/>
        </w:rPr>
        <w:t xml:space="preserve">The perfect matching of payments under the corresponding stop loss endorsements and quota share policies (from insureds to PoolRe, and from PoolRe to captives) indicates that </w:t>
      </w:r>
      <w:bookmarkStart w:id="32" w:name="_Hlk525223382"/>
      <w:r w:rsidRPr="00751EE5">
        <w:rPr>
          <w:rFonts w:ascii="Times New Roman" w:hAnsi="Times New Roman" w:cs="Times New Roman"/>
          <w:b/>
          <w:i/>
          <w:sz w:val="24"/>
          <w:szCs w:val="24"/>
        </w:rPr>
        <w:t>the quota share arrangement was not the product of arm’s-length considerations</w:t>
      </w:r>
      <w:bookmarkEnd w:id="32"/>
      <w:r w:rsidRPr="00751EE5">
        <w:rPr>
          <w:rFonts w:ascii="Times New Roman" w:hAnsi="Times New Roman" w:cs="Times New Roman"/>
          <w:b/>
          <w:i/>
          <w:sz w:val="24"/>
          <w:szCs w:val="24"/>
        </w:rPr>
        <w:t xml:space="preserve">.  Peak’s risks that were insured through PoolRe were different from the risks that PoolRe ceded to Reserve under the quota share policies. The risks that </w:t>
      </w:r>
      <w:r w:rsidRPr="00751EE5">
        <w:rPr>
          <w:rFonts w:ascii="Times New Roman" w:hAnsi="Times New Roman" w:cs="Times New Roman"/>
          <w:b/>
          <w:i/>
          <w:sz w:val="24"/>
          <w:szCs w:val="24"/>
        </w:rPr>
        <w:lastRenderedPageBreak/>
        <w:t>PoolRe purported to assume under the stop loss endorsements related to various unrelated business activities and to policies covering various unrelated lines of insurance. Reserve has not shown that the risks were comparable in scale</w:t>
      </w:r>
      <w:r w:rsidRPr="000021EC">
        <w:rPr>
          <w:rFonts w:ascii="Times New Roman" w:hAnsi="Times New Roman" w:cs="Times New Roman"/>
          <w:sz w:val="24"/>
          <w:szCs w:val="24"/>
        </w:rPr>
        <w:t>.</w:t>
      </w:r>
      <w:r>
        <w:rPr>
          <w:rFonts w:ascii="Times New Roman" w:hAnsi="Times New Roman" w:cs="Times New Roman"/>
          <w:sz w:val="24"/>
          <w:szCs w:val="24"/>
        </w:rPr>
        <w:t>”</w:t>
      </w:r>
      <w:r>
        <w:rPr>
          <w:rStyle w:val="EndnoteReference"/>
          <w:rFonts w:ascii="Times New Roman" w:hAnsi="Times New Roman" w:cs="Times New Roman"/>
          <w:sz w:val="24"/>
          <w:szCs w:val="24"/>
        </w:rPr>
        <w:endnoteReference w:id="89"/>
      </w:r>
    </w:p>
    <w:p w14:paraId="16D3BCD6" w14:textId="77777777" w:rsidR="000A2139" w:rsidRDefault="000A2139" w:rsidP="000021EC">
      <w:pPr>
        <w:spacing w:after="0" w:line="240" w:lineRule="auto"/>
        <w:rPr>
          <w:rFonts w:ascii="Times New Roman" w:hAnsi="Times New Roman" w:cs="Times New Roman"/>
          <w:sz w:val="24"/>
          <w:szCs w:val="24"/>
        </w:rPr>
      </w:pPr>
    </w:p>
    <w:p w14:paraId="54002A2B" w14:textId="238D0FB0" w:rsidR="000A2139" w:rsidRDefault="000A2139" w:rsidP="0066010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the first instance, the Court has </w:t>
      </w:r>
      <w:r w:rsidRPr="00D1354A">
        <w:rPr>
          <w:rFonts w:ascii="Times New Roman" w:hAnsi="Times New Roman" w:cs="Times New Roman"/>
          <w:i/>
          <w:sz w:val="24"/>
          <w:szCs w:val="24"/>
        </w:rPr>
        <w:t>sua sponte</w:t>
      </w:r>
      <w:r>
        <w:rPr>
          <w:rFonts w:ascii="Times New Roman" w:hAnsi="Times New Roman" w:cs="Times New Roman"/>
          <w:sz w:val="24"/>
          <w:szCs w:val="24"/>
        </w:rPr>
        <w:t xml:space="preserve"> raised a non-litigated issue involving non-parties, being the Peak insureds, and PoolRe.  The </w:t>
      </w:r>
      <w:r w:rsidRPr="00282B74">
        <w:rPr>
          <w:rFonts w:ascii="Times New Roman" w:hAnsi="Times New Roman" w:cs="Times New Roman"/>
          <w:sz w:val="24"/>
          <w:szCs w:val="24"/>
        </w:rPr>
        <w:t>Court is asking how the risks that PoolRe underwrote for the Peak insureds “were comparable in scale” to the risks</w:t>
      </w:r>
      <w:r w:rsidRPr="00F42BB0">
        <w:rPr>
          <w:rFonts w:ascii="Times New Roman" w:hAnsi="Times New Roman" w:cs="Times New Roman"/>
          <w:sz w:val="24"/>
          <w:szCs w:val="24"/>
        </w:rPr>
        <w:t xml:space="preserve"> that Reserve assumed </w:t>
      </w:r>
      <w:r w:rsidRPr="00282B74">
        <w:rPr>
          <w:rFonts w:ascii="Times New Roman" w:hAnsi="Times New Roman" w:cs="Times New Roman"/>
          <w:sz w:val="24"/>
          <w:szCs w:val="24"/>
        </w:rPr>
        <w:t>from PoolRe without any explanation or analysis of what the Court means by this newly minted concept.</w:t>
      </w:r>
    </w:p>
    <w:p w14:paraId="255E97F4" w14:textId="77777777" w:rsidR="000A2139" w:rsidRDefault="000A2139" w:rsidP="00660101">
      <w:pPr>
        <w:spacing w:after="0" w:line="240" w:lineRule="auto"/>
        <w:rPr>
          <w:rFonts w:ascii="Times New Roman" w:hAnsi="Times New Roman" w:cs="Times New Roman"/>
          <w:sz w:val="24"/>
          <w:szCs w:val="24"/>
        </w:rPr>
      </w:pPr>
    </w:p>
    <w:p w14:paraId="38F8276F" w14:textId="76A81FAD" w:rsidR="000A2139" w:rsidRDefault="000A2139" w:rsidP="00E83B9B">
      <w:pPr>
        <w:spacing w:after="0"/>
        <w:rPr>
          <w:rFonts w:ascii="Times New Roman" w:hAnsi="Times New Roman" w:cs="Times New Roman"/>
          <w:sz w:val="24"/>
          <w:szCs w:val="24"/>
        </w:rPr>
      </w:pPr>
      <w:r>
        <w:rPr>
          <w:rFonts w:ascii="Times New Roman" w:hAnsi="Times New Roman" w:cs="Times New Roman"/>
          <w:sz w:val="24"/>
          <w:szCs w:val="24"/>
        </w:rPr>
        <w:t>In doing so, t</w:t>
      </w:r>
      <w:r w:rsidRPr="007C2565">
        <w:rPr>
          <w:rFonts w:ascii="Times New Roman" w:hAnsi="Times New Roman" w:cs="Times New Roman"/>
          <w:sz w:val="24"/>
          <w:szCs w:val="24"/>
        </w:rPr>
        <w:t>he Court brushed aside the testimony of Reserve’s experts on this matter</w:t>
      </w:r>
      <w:r>
        <w:rPr>
          <w:rFonts w:ascii="Times New Roman" w:hAnsi="Times New Roman" w:cs="Times New Roman"/>
          <w:sz w:val="24"/>
          <w:szCs w:val="24"/>
        </w:rPr>
        <w:t xml:space="preserve"> even though the government offered no contrary evidence.  The unchallenged evidence before the Court was that t</w:t>
      </w:r>
      <w:r w:rsidRPr="00660101">
        <w:rPr>
          <w:rFonts w:ascii="Times New Roman" w:hAnsi="Times New Roman" w:cs="Times New Roman"/>
          <w:sz w:val="24"/>
          <w:szCs w:val="24"/>
        </w:rPr>
        <w:t xml:space="preserve">he stop loss endorsements between the non-party insureds and the non-party pooling arrangement were </w:t>
      </w:r>
      <w:r w:rsidRPr="00660101">
        <w:rPr>
          <w:rFonts w:ascii="Times New Roman" w:hAnsi="Times New Roman" w:cs="Times New Roman"/>
          <w:i/>
          <w:sz w:val="24"/>
          <w:szCs w:val="24"/>
        </w:rPr>
        <w:t>contracts between independent and unaffiliated parties</w:t>
      </w:r>
      <w:r w:rsidRPr="00660101">
        <w:rPr>
          <w:rFonts w:ascii="Times New Roman" w:hAnsi="Times New Roman" w:cs="Times New Roman"/>
          <w:sz w:val="24"/>
          <w:szCs w:val="24"/>
        </w:rPr>
        <w:t xml:space="preserve">.  </w:t>
      </w:r>
      <w:r w:rsidRPr="00D56A69">
        <w:rPr>
          <w:rFonts w:ascii="Times New Roman" w:hAnsi="Times New Roman" w:cs="Times New Roman"/>
          <w:sz w:val="24"/>
          <w:szCs w:val="24"/>
        </w:rPr>
        <w:t>Despite the government not challenging either the stop loss or the quota share arrangements or their pricing, prima facie evidence was before the Court as to the arm’s</w:t>
      </w:r>
      <w:r>
        <w:rPr>
          <w:rFonts w:ascii="Times New Roman" w:hAnsi="Times New Roman" w:cs="Times New Roman"/>
          <w:sz w:val="24"/>
          <w:szCs w:val="24"/>
        </w:rPr>
        <w:t>-</w:t>
      </w:r>
      <w:r w:rsidRPr="00D56A69">
        <w:rPr>
          <w:rFonts w:ascii="Times New Roman" w:hAnsi="Times New Roman" w:cs="Times New Roman"/>
          <w:sz w:val="24"/>
          <w:szCs w:val="24"/>
        </w:rPr>
        <w:t xml:space="preserve">length pricing of such between these independent </w:t>
      </w:r>
      <w:r>
        <w:rPr>
          <w:rFonts w:ascii="Times New Roman" w:hAnsi="Times New Roman" w:cs="Times New Roman"/>
          <w:sz w:val="24"/>
          <w:szCs w:val="24"/>
        </w:rPr>
        <w:t xml:space="preserve">and unaffiliated </w:t>
      </w:r>
      <w:r w:rsidRPr="00D56A69">
        <w:rPr>
          <w:rFonts w:ascii="Times New Roman" w:hAnsi="Times New Roman" w:cs="Times New Roman"/>
          <w:sz w:val="24"/>
          <w:szCs w:val="24"/>
        </w:rPr>
        <w:t>parties.</w:t>
      </w:r>
      <w:r>
        <w:rPr>
          <w:rFonts w:ascii="Times New Roman" w:hAnsi="Times New Roman" w:cs="Times New Roman"/>
          <w:sz w:val="24"/>
          <w:szCs w:val="24"/>
        </w:rPr>
        <w:t xml:space="preserve">  </w:t>
      </w:r>
      <w:r w:rsidRPr="00D56A69">
        <w:rPr>
          <w:rFonts w:ascii="Times New Roman" w:hAnsi="Times New Roman" w:cs="Times New Roman"/>
          <w:sz w:val="24"/>
          <w:szCs w:val="24"/>
        </w:rPr>
        <w:t>Additionally, the pricing of Reserve’s policies and the pricing of PoolRe’s stop loss and quota share arrangements were supported by multiple actuaries</w:t>
      </w:r>
      <w:r>
        <w:rPr>
          <w:rFonts w:ascii="Times New Roman" w:hAnsi="Times New Roman" w:cs="Times New Roman"/>
          <w:sz w:val="24"/>
          <w:szCs w:val="24"/>
        </w:rPr>
        <w:t>,</w:t>
      </w:r>
      <w:r>
        <w:rPr>
          <w:rStyle w:val="EndnoteReference"/>
          <w:rFonts w:ascii="Times New Roman" w:hAnsi="Times New Roman" w:cs="Times New Roman"/>
          <w:sz w:val="24"/>
          <w:szCs w:val="24"/>
        </w:rPr>
        <w:endnoteReference w:id="90"/>
      </w:r>
      <w:r w:rsidRPr="00D56A69">
        <w:rPr>
          <w:rFonts w:ascii="Times New Roman" w:hAnsi="Times New Roman" w:cs="Times New Roman"/>
          <w:sz w:val="24"/>
          <w:szCs w:val="24"/>
        </w:rPr>
        <w:t xml:space="preserve"> </w:t>
      </w:r>
      <w:r>
        <w:rPr>
          <w:rFonts w:ascii="Times New Roman" w:hAnsi="Times New Roman" w:cs="Times New Roman"/>
          <w:sz w:val="24"/>
          <w:szCs w:val="24"/>
        </w:rPr>
        <w:t xml:space="preserve">plus </w:t>
      </w:r>
      <w:r w:rsidRPr="00D56A69">
        <w:rPr>
          <w:rFonts w:ascii="Times New Roman" w:hAnsi="Times New Roman" w:cs="Times New Roman"/>
          <w:sz w:val="24"/>
          <w:szCs w:val="24"/>
        </w:rPr>
        <w:t xml:space="preserve">being supported by pricing indications received by Capstone from a regional managing general agent (MGA) </w:t>
      </w:r>
      <w:r>
        <w:rPr>
          <w:rFonts w:ascii="Times New Roman" w:hAnsi="Times New Roman" w:cs="Times New Roman"/>
          <w:sz w:val="24"/>
          <w:szCs w:val="24"/>
        </w:rPr>
        <w:t xml:space="preserve">for each policy </w:t>
      </w:r>
      <w:r w:rsidRPr="00D56A69">
        <w:rPr>
          <w:rFonts w:ascii="Times New Roman" w:hAnsi="Times New Roman" w:cs="Times New Roman"/>
          <w:sz w:val="24"/>
          <w:szCs w:val="24"/>
        </w:rPr>
        <w:t>underwritten by each captive that participated in the pooling arrangement.</w:t>
      </w:r>
      <w:r>
        <w:rPr>
          <w:rStyle w:val="EndnoteReference"/>
          <w:rFonts w:ascii="Times New Roman" w:hAnsi="Times New Roman" w:cs="Times New Roman"/>
          <w:sz w:val="24"/>
          <w:szCs w:val="24"/>
        </w:rPr>
        <w:endnoteReference w:id="91"/>
      </w:r>
      <w:r>
        <w:rPr>
          <w:rFonts w:ascii="Times New Roman" w:hAnsi="Times New Roman" w:cs="Times New Roman"/>
          <w:sz w:val="24"/>
          <w:szCs w:val="24"/>
        </w:rPr>
        <w:t xml:space="preserve">  </w:t>
      </w:r>
      <w:r w:rsidRPr="0079243A">
        <w:rPr>
          <w:rFonts w:ascii="Times New Roman" w:hAnsi="Times New Roman" w:cs="Times New Roman"/>
          <w:sz w:val="24"/>
          <w:szCs w:val="24"/>
        </w:rPr>
        <w:t xml:space="preserve">While the Court never </w:t>
      </w:r>
      <w:r>
        <w:rPr>
          <w:rFonts w:ascii="Times New Roman" w:hAnsi="Times New Roman" w:cs="Times New Roman"/>
          <w:sz w:val="24"/>
          <w:szCs w:val="24"/>
        </w:rPr>
        <w:t xml:space="preserve">further </w:t>
      </w:r>
      <w:r w:rsidRPr="0079243A">
        <w:rPr>
          <w:rFonts w:ascii="Times New Roman" w:hAnsi="Times New Roman" w:cs="Times New Roman"/>
          <w:sz w:val="24"/>
          <w:szCs w:val="24"/>
        </w:rPr>
        <w:t xml:space="preserve">developed its newly articulated demand for a showing </w:t>
      </w:r>
      <w:r>
        <w:rPr>
          <w:rFonts w:ascii="Times New Roman" w:hAnsi="Times New Roman" w:cs="Times New Roman"/>
          <w:sz w:val="24"/>
          <w:szCs w:val="24"/>
        </w:rPr>
        <w:t xml:space="preserve">that risks were </w:t>
      </w:r>
      <w:r w:rsidRPr="0079243A">
        <w:rPr>
          <w:rFonts w:ascii="Times New Roman" w:hAnsi="Times New Roman" w:cs="Times New Roman"/>
          <w:sz w:val="24"/>
          <w:szCs w:val="24"/>
        </w:rPr>
        <w:t xml:space="preserve">“comparable </w:t>
      </w:r>
      <w:r>
        <w:rPr>
          <w:rFonts w:ascii="Times New Roman" w:hAnsi="Times New Roman" w:cs="Times New Roman"/>
          <w:sz w:val="24"/>
          <w:szCs w:val="24"/>
        </w:rPr>
        <w:t xml:space="preserve">in </w:t>
      </w:r>
      <w:r w:rsidRPr="0079243A">
        <w:rPr>
          <w:rFonts w:ascii="Times New Roman" w:hAnsi="Times New Roman" w:cs="Times New Roman"/>
          <w:sz w:val="24"/>
          <w:szCs w:val="24"/>
        </w:rPr>
        <w:t>scale</w:t>
      </w:r>
      <w:r>
        <w:rPr>
          <w:rFonts w:ascii="Times New Roman" w:hAnsi="Times New Roman" w:cs="Times New Roman"/>
          <w:sz w:val="24"/>
          <w:szCs w:val="24"/>
        </w:rPr>
        <w:t>,</w:t>
      </w:r>
      <w:r w:rsidRPr="0079243A">
        <w:rPr>
          <w:rFonts w:ascii="Times New Roman" w:hAnsi="Times New Roman" w:cs="Times New Roman"/>
          <w:sz w:val="24"/>
          <w:szCs w:val="24"/>
        </w:rPr>
        <w:t xml:space="preserve">” the evidence was before the Court </w:t>
      </w:r>
      <w:r>
        <w:rPr>
          <w:rFonts w:ascii="Times New Roman" w:hAnsi="Times New Roman" w:cs="Times New Roman"/>
          <w:sz w:val="24"/>
          <w:szCs w:val="24"/>
        </w:rPr>
        <w:t>if</w:t>
      </w:r>
      <w:r w:rsidRPr="0079243A">
        <w:rPr>
          <w:rFonts w:ascii="Times New Roman" w:hAnsi="Times New Roman" w:cs="Times New Roman"/>
          <w:sz w:val="24"/>
          <w:szCs w:val="24"/>
        </w:rPr>
        <w:t xml:space="preserve"> it wished to examine such.</w:t>
      </w:r>
    </w:p>
    <w:p w14:paraId="500E9098" w14:textId="77777777" w:rsidR="000A2139" w:rsidRDefault="000A2139" w:rsidP="00E83B9B">
      <w:pPr>
        <w:spacing w:after="0" w:line="240" w:lineRule="auto"/>
        <w:rPr>
          <w:rFonts w:ascii="Times New Roman" w:hAnsi="Times New Roman" w:cs="Times New Roman"/>
          <w:sz w:val="24"/>
          <w:szCs w:val="24"/>
        </w:rPr>
      </w:pPr>
    </w:p>
    <w:p w14:paraId="5D880B4A" w14:textId="7999B23F" w:rsidR="000A2139" w:rsidRDefault="000A2139" w:rsidP="00E83B9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Pricing </w:t>
      </w:r>
      <w:r w:rsidRPr="00660101">
        <w:rPr>
          <w:rFonts w:ascii="Times New Roman" w:hAnsi="Times New Roman" w:cs="Times New Roman"/>
          <w:sz w:val="24"/>
          <w:szCs w:val="24"/>
        </w:rPr>
        <w:t xml:space="preserve">support </w:t>
      </w:r>
      <w:r>
        <w:rPr>
          <w:rFonts w:ascii="Times New Roman" w:hAnsi="Times New Roman" w:cs="Times New Roman"/>
          <w:sz w:val="24"/>
          <w:szCs w:val="24"/>
        </w:rPr>
        <w:t xml:space="preserve">for the policies underwritten by Reserve and PoolRe </w:t>
      </w:r>
      <w:r w:rsidRPr="00660101">
        <w:rPr>
          <w:rFonts w:ascii="Times New Roman" w:hAnsi="Times New Roman" w:cs="Times New Roman"/>
          <w:sz w:val="24"/>
          <w:szCs w:val="24"/>
        </w:rPr>
        <w:t xml:space="preserve">included (a) Capstone procuring pricing indications from the </w:t>
      </w:r>
      <w:r>
        <w:rPr>
          <w:rFonts w:ascii="Times New Roman" w:hAnsi="Times New Roman" w:cs="Times New Roman"/>
          <w:sz w:val="24"/>
          <w:szCs w:val="24"/>
        </w:rPr>
        <w:t xml:space="preserve">Lloyd’s of London </w:t>
      </w:r>
      <w:r w:rsidRPr="00660101">
        <w:rPr>
          <w:rFonts w:ascii="Times New Roman" w:hAnsi="Times New Roman" w:cs="Times New Roman"/>
          <w:sz w:val="24"/>
          <w:szCs w:val="24"/>
        </w:rPr>
        <w:t>MGA in connection with the pricing of each captive’s policies</w:t>
      </w:r>
      <w:r>
        <w:rPr>
          <w:rFonts w:ascii="Times New Roman" w:hAnsi="Times New Roman" w:cs="Times New Roman"/>
          <w:sz w:val="24"/>
          <w:szCs w:val="24"/>
        </w:rPr>
        <w:t>,</w:t>
      </w:r>
      <w:r>
        <w:rPr>
          <w:rStyle w:val="EndnoteReference"/>
          <w:rFonts w:ascii="Times New Roman" w:hAnsi="Times New Roman" w:cs="Times New Roman"/>
          <w:sz w:val="24"/>
          <w:szCs w:val="24"/>
        </w:rPr>
        <w:endnoteReference w:id="92"/>
      </w:r>
      <w:r w:rsidRPr="00660101">
        <w:rPr>
          <w:rFonts w:ascii="Times New Roman" w:hAnsi="Times New Roman" w:cs="Times New Roman"/>
          <w:sz w:val="24"/>
          <w:szCs w:val="24"/>
        </w:rPr>
        <w:t xml:space="preserve"> (b) Capstone engaging an additional actuary </w:t>
      </w:r>
      <w:r>
        <w:rPr>
          <w:rFonts w:ascii="Times New Roman" w:hAnsi="Times New Roman" w:cs="Times New Roman"/>
          <w:sz w:val="24"/>
          <w:szCs w:val="24"/>
        </w:rPr>
        <w:t xml:space="preserve">(Glicksman) </w:t>
      </w:r>
      <w:r w:rsidRPr="00660101">
        <w:rPr>
          <w:rFonts w:ascii="Times New Roman" w:hAnsi="Times New Roman" w:cs="Times New Roman"/>
          <w:sz w:val="24"/>
          <w:szCs w:val="24"/>
        </w:rPr>
        <w:t>to determine the appropriate percentage of each captive’s gross premiums to be allocated to PoolRe</w:t>
      </w:r>
      <w:r>
        <w:rPr>
          <w:rFonts w:ascii="Times New Roman" w:hAnsi="Times New Roman" w:cs="Times New Roman"/>
          <w:sz w:val="24"/>
          <w:szCs w:val="24"/>
        </w:rPr>
        <w:t xml:space="preserve"> for the stop loss coverage,</w:t>
      </w:r>
      <w:r>
        <w:rPr>
          <w:rStyle w:val="EndnoteReference"/>
          <w:rFonts w:ascii="Times New Roman" w:hAnsi="Times New Roman" w:cs="Times New Roman"/>
          <w:sz w:val="24"/>
          <w:szCs w:val="24"/>
        </w:rPr>
        <w:endnoteReference w:id="93"/>
      </w:r>
      <w:r w:rsidRPr="00660101">
        <w:rPr>
          <w:rFonts w:ascii="Times New Roman" w:hAnsi="Times New Roman" w:cs="Times New Roman"/>
          <w:sz w:val="24"/>
          <w:szCs w:val="24"/>
        </w:rPr>
        <w:t xml:space="preserve"> </w:t>
      </w:r>
      <w:r w:rsidRPr="00041F4B">
        <w:rPr>
          <w:rFonts w:ascii="Times New Roman" w:hAnsi="Times New Roman" w:cs="Times New Roman"/>
          <w:sz w:val="24"/>
          <w:szCs w:val="24"/>
        </w:rPr>
        <w:t xml:space="preserve">(c) as discussed further below, the </w:t>
      </w:r>
      <w:r>
        <w:rPr>
          <w:rFonts w:ascii="Times New Roman" w:hAnsi="Times New Roman" w:cs="Times New Roman"/>
          <w:sz w:val="24"/>
          <w:szCs w:val="24"/>
        </w:rPr>
        <w:t xml:space="preserve">contemporaneous </w:t>
      </w:r>
      <w:r w:rsidRPr="00041F4B">
        <w:rPr>
          <w:rFonts w:ascii="Times New Roman" w:hAnsi="Times New Roman" w:cs="Times New Roman"/>
          <w:sz w:val="24"/>
          <w:szCs w:val="24"/>
        </w:rPr>
        <w:t xml:space="preserve">work of a </w:t>
      </w:r>
      <w:r w:rsidRPr="0051274A">
        <w:rPr>
          <w:rFonts w:ascii="Times New Roman" w:hAnsi="Times New Roman" w:cs="Times New Roman"/>
          <w:sz w:val="24"/>
          <w:szCs w:val="24"/>
        </w:rPr>
        <w:t>CPCU underwriter, and (d) an after-the-fact examination by two independent actuaries.  The collective support received</w:t>
      </w:r>
      <w:r w:rsidRPr="002B71F6">
        <w:rPr>
          <w:rFonts w:ascii="Times New Roman" w:hAnsi="Times New Roman" w:cs="Times New Roman"/>
          <w:sz w:val="24"/>
          <w:szCs w:val="24"/>
        </w:rPr>
        <w:t xml:space="preserve"> from these </w:t>
      </w:r>
      <w:r>
        <w:rPr>
          <w:rFonts w:ascii="Times New Roman" w:hAnsi="Times New Roman" w:cs="Times New Roman"/>
          <w:sz w:val="24"/>
          <w:szCs w:val="24"/>
        </w:rPr>
        <w:t xml:space="preserve">several groups of </w:t>
      </w:r>
      <w:r w:rsidRPr="002B71F6">
        <w:rPr>
          <w:rFonts w:ascii="Times New Roman" w:hAnsi="Times New Roman" w:cs="Times New Roman"/>
          <w:sz w:val="24"/>
          <w:szCs w:val="24"/>
        </w:rPr>
        <w:t>insurance professionals on the pricing of the policies gave each unaffiliated pool participant additional assurance that the otherwise arm’s length quota share arrangements were properly priced</w:t>
      </w:r>
      <w:r>
        <w:rPr>
          <w:rFonts w:ascii="Times New Roman" w:hAnsi="Times New Roman" w:cs="Times New Roman"/>
          <w:sz w:val="24"/>
          <w:szCs w:val="24"/>
        </w:rPr>
        <w:t>,</w:t>
      </w:r>
      <w:r w:rsidRPr="002B71F6">
        <w:rPr>
          <w:rFonts w:ascii="Times New Roman" w:hAnsi="Times New Roman" w:cs="Times New Roman"/>
          <w:sz w:val="24"/>
          <w:szCs w:val="24"/>
        </w:rPr>
        <w:t xml:space="preserve"> which inherently considers that the reinsured risks were comparable in scale to one another on a price-risk adjusted basis.  That is, the higher risk is compensated for by a higher price</w:t>
      </w:r>
      <w:r>
        <w:rPr>
          <w:rFonts w:ascii="Times New Roman" w:hAnsi="Times New Roman" w:cs="Times New Roman"/>
          <w:sz w:val="24"/>
          <w:szCs w:val="24"/>
        </w:rPr>
        <w:t>d policy for a given level of coverage</w:t>
      </w:r>
      <w:r w:rsidRPr="002B71F6">
        <w:rPr>
          <w:rFonts w:ascii="Times New Roman" w:hAnsi="Times New Roman" w:cs="Times New Roman"/>
          <w:sz w:val="24"/>
          <w:szCs w:val="24"/>
        </w:rPr>
        <w:t xml:space="preserve">.  </w:t>
      </w:r>
    </w:p>
    <w:p w14:paraId="47260DB1" w14:textId="77777777" w:rsidR="000A2139" w:rsidRDefault="000A2139" w:rsidP="00E83B9B">
      <w:pPr>
        <w:spacing w:after="0" w:line="240" w:lineRule="auto"/>
        <w:rPr>
          <w:rFonts w:ascii="Times New Roman" w:hAnsi="Times New Roman" w:cs="Times New Roman"/>
          <w:sz w:val="24"/>
          <w:szCs w:val="24"/>
        </w:rPr>
      </w:pPr>
    </w:p>
    <w:p w14:paraId="19E82A27" w14:textId="2B447B6B" w:rsidR="000A2139" w:rsidRPr="004937B1" w:rsidRDefault="000A2139" w:rsidP="00E83B9B">
      <w:pPr>
        <w:spacing w:after="0" w:line="240" w:lineRule="auto"/>
        <w:rPr>
          <w:rFonts w:ascii="Times New Roman" w:hAnsi="Times New Roman" w:cs="Times New Roman"/>
          <w:sz w:val="24"/>
          <w:szCs w:val="24"/>
        </w:rPr>
      </w:pPr>
      <w:r w:rsidRPr="002B71F6">
        <w:rPr>
          <w:rFonts w:ascii="Times New Roman" w:hAnsi="Times New Roman" w:cs="Times New Roman"/>
          <w:sz w:val="24"/>
          <w:szCs w:val="24"/>
        </w:rPr>
        <w:t xml:space="preserve">The Court’s conclusion to the contrary </w:t>
      </w:r>
      <w:r>
        <w:rPr>
          <w:rFonts w:ascii="Times New Roman" w:hAnsi="Times New Roman" w:cs="Times New Roman"/>
          <w:sz w:val="24"/>
          <w:szCs w:val="24"/>
        </w:rPr>
        <w:t>regarding policy pricing</w:t>
      </w:r>
      <w:r w:rsidRPr="002B71F6">
        <w:rPr>
          <w:rFonts w:ascii="Times New Roman" w:hAnsi="Times New Roman" w:cs="Times New Roman"/>
          <w:sz w:val="24"/>
          <w:szCs w:val="24"/>
        </w:rPr>
        <w:t xml:space="preserve"> is </w:t>
      </w:r>
      <w:r>
        <w:rPr>
          <w:rFonts w:ascii="Times New Roman" w:hAnsi="Times New Roman" w:cs="Times New Roman"/>
          <w:sz w:val="24"/>
          <w:szCs w:val="24"/>
        </w:rPr>
        <w:t xml:space="preserve">clearly </w:t>
      </w:r>
      <w:r w:rsidRPr="002B71F6">
        <w:rPr>
          <w:rFonts w:ascii="Times New Roman" w:hAnsi="Times New Roman" w:cs="Times New Roman"/>
          <w:sz w:val="24"/>
          <w:szCs w:val="24"/>
        </w:rPr>
        <w:t>erroneous.  In the fac</w:t>
      </w:r>
      <w:r>
        <w:rPr>
          <w:rFonts w:ascii="Times New Roman" w:hAnsi="Times New Roman" w:cs="Times New Roman"/>
          <w:sz w:val="24"/>
          <w:szCs w:val="24"/>
        </w:rPr>
        <w:t>e</w:t>
      </w:r>
      <w:r w:rsidRPr="002B71F6">
        <w:rPr>
          <w:rFonts w:ascii="Times New Roman" w:hAnsi="Times New Roman" w:cs="Times New Roman"/>
          <w:sz w:val="24"/>
          <w:szCs w:val="24"/>
        </w:rPr>
        <w:t xml:space="preserve"> of voluminous testimony from Reserve’s experts on pricing issues, the government’s sole witness demurred, declining to address pricing.</w:t>
      </w:r>
    </w:p>
    <w:p w14:paraId="7AA5CE64" w14:textId="77777777" w:rsidR="000A2139" w:rsidRDefault="000A2139" w:rsidP="00DC7A8B">
      <w:pPr>
        <w:spacing w:after="0" w:line="240" w:lineRule="auto"/>
        <w:rPr>
          <w:rFonts w:ascii="Times New Roman" w:hAnsi="Times New Roman" w:cs="Times New Roman"/>
          <w:sz w:val="24"/>
          <w:szCs w:val="24"/>
        </w:rPr>
      </w:pPr>
    </w:p>
    <w:p w14:paraId="45EBC352" w14:textId="117BD41E" w:rsidR="000A2139" w:rsidRDefault="000A2139" w:rsidP="00DC7A8B">
      <w:pPr>
        <w:spacing w:after="0" w:line="240" w:lineRule="auto"/>
        <w:rPr>
          <w:rFonts w:ascii="Times New Roman" w:hAnsi="Times New Roman" w:cs="Times New Roman"/>
          <w:sz w:val="24"/>
          <w:szCs w:val="24"/>
        </w:rPr>
      </w:pPr>
      <w:r w:rsidRPr="00ED5D5C">
        <w:rPr>
          <w:rFonts w:ascii="Times New Roman" w:hAnsi="Times New Roman" w:cs="Times New Roman"/>
          <w:sz w:val="24"/>
          <w:szCs w:val="24"/>
        </w:rPr>
        <w:t>The totality of the risks absorbed by PoolRe from the 650</w:t>
      </w:r>
      <w:r>
        <w:rPr>
          <w:rFonts w:ascii="Times New Roman" w:hAnsi="Times New Roman" w:cs="Times New Roman"/>
          <w:sz w:val="24"/>
          <w:szCs w:val="24"/>
        </w:rPr>
        <w:t>+</w:t>
      </w:r>
      <w:r w:rsidRPr="00ED5D5C">
        <w:rPr>
          <w:rFonts w:ascii="Times New Roman" w:hAnsi="Times New Roman" w:cs="Times New Roman"/>
          <w:sz w:val="24"/>
          <w:szCs w:val="24"/>
        </w:rPr>
        <w:t xml:space="preserve"> policies (each of which McNeel testified were priced </w:t>
      </w:r>
      <w:r w:rsidRPr="00680875">
        <w:rPr>
          <w:rFonts w:ascii="Times New Roman" w:hAnsi="Times New Roman" w:cs="Times New Roman"/>
          <w:sz w:val="24"/>
          <w:szCs w:val="24"/>
        </w:rPr>
        <w:t xml:space="preserve">using the same risk-adjusted </w:t>
      </w:r>
      <w:r w:rsidRPr="00B615CA">
        <w:rPr>
          <w:rFonts w:ascii="Times New Roman" w:hAnsi="Times New Roman" w:cs="Times New Roman"/>
          <w:sz w:val="24"/>
          <w:szCs w:val="24"/>
        </w:rPr>
        <w:t>methodology as was used for Reserve) were ceded or redistributed to the 58 participating captives.  See Diagram 1 (“Insurance Structure – Exemplar Year”) on page 2</w:t>
      </w:r>
      <w:r w:rsidR="008938E9">
        <w:rPr>
          <w:rFonts w:ascii="Times New Roman" w:hAnsi="Times New Roman" w:cs="Times New Roman"/>
          <w:sz w:val="24"/>
          <w:szCs w:val="24"/>
        </w:rPr>
        <w:t>2</w:t>
      </w:r>
      <w:r w:rsidRPr="00B615CA">
        <w:rPr>
          <w:rFonts w:ascii="Times New Roman" w:hAnsi="Times New Roman" w:cs="Times New Roman"/>
          <w:sz w:val="24"/>
          <w:szCs w:val="24"/>
        </w:rPr>
        <w:t xml:space="preserve"> showing PoolRe’s premium blending structure.  The input from the 200+ insureds in terms of payments to PoolRe under the</w:t>
      </w:r>
      <w:r w:rsidRPr="00680875">
        <w:rPr>
          <w:rFonts w:ascii="Times New Roman" w:hAnsi="Times New Roman" w:cs="Times New Roman"/>
          <w:sz w:val="24"/>
          <w:szCs w:val="24"/>
        </w:rPr>
        <w:t xml:space="preserve"> stop loss arrangement resulted</w:t>
      </w:r>
      <w:r w:rsidRPr="00ED5D5C">
        <w:rPr>
          <w:rFonts w:ascii="Times New Roman" w:hAnsi="Times New Roman" w:cs="Times New Roman"/>
          <w:sz w:val="24"/>
          <w:szCs w:val="24"/>
        </w:rPr>
        <w:t xml:space="preserve"> in the </w:t>
      </w:r>
      <w:r w:rsidRPr="00ED5D5C">
        <w:rPr>
          <w:rFonts w:ascii="Times New Roman" w:hAnsi="Times New Roman" w:cs="Times New Roman"/>
          <w:sz w:val="24"/>
          <w:szCs w:val="24"/>
        </w:rPr>
        <w:lastRenderedPageBreak/>
        <w:t xml:space="preserve">output, being the ceding of the stop loss premiums through the quota share agreements to the 58 captive participants.  The </w:t>
      </w:r>
      <w:r w:rsidRPr="00166CE8">
        <w:rPr>
          <w:rFonts w:ascii="Times New Roman" w:hAnsi="Times New Roman" w:cs="Times New Roman"/>
          <w:b/>
          <w:i/>
          <w:sz w:val="24"/>
          <w:szCs w:val="24"/>
        </w:rPr>
        <w:t>risks in</w:t>
      </w:r>
      <w:r>
        <w:rPr>
          <w:rFonts w:ascii="Times New Roman" w:hAnsi="Times New Roman" w:cs="Times New Roman"/>
          <w:sz w:val="24"/>
          <w:szCs w:val="24"/>
        </w:rPr>
        <w:t xml:space="preserve"> </w:t>
      </w:r>
      <w:r w:rsidRPr="00ED5D5C">
        <w:rPr>
          <w:rFonts w:ascii="Times New Roman" w:hAnsi="Times New Roman" w:cs="Times New Roman"/>
          <w:sz w:val="24"/>
          <w:szCs w:val="24"/>
        </w:rPr>
        <w:t>were the same</w:t>
      </w:r>
      <w:r>
        <w:rPr>
          <w:rFonts w:ascii="Times New Roman" w:hAnsi="Times New Roman" w:cs="Times New Roman"/>
          <w:sz w:val="24"/>
          <w:szCs w:val="24"/>
        </w:rPr>
        <w:t xml:space="preserve"> as the </w:t>
      </w:r>
      <w:r w:rsidRPr="00166CE8">
        <w:rPr>
          <w:rFonts w:ascii="Times New Roman" w:hAnsi="Times New Roman" w:cs="Times New Roman"/>
          <w:b/>
          <w:i/>
          <w:sz w:val="24"/>
          <w:szCs w:val="24"/>
        </w:rPr>
        <w:t>risks out</w:t>
      </w:r>
      <w:r>
        <w:rPr>
          <w:rFonts w:ascii="Times New Roman" w:hAnsi="Times New Roman" w:cs="Times New Roman"/>
          <w:sz w:val="24"/>
          <w:szCs w:val="24"/>
        </w:rPr>
        <w:t>, however, borne after distribution by 58 insurers</w:t>
      </w:r>
      <w:r w:rsidRPr="00ED5D5C">
        <w:rPr>
          <w:rFonts w:ascii="Times New Roman" w:hAnsi="Times New Roman" w:cs="Times New Roman"/>
          <w:sz w:val="24"/>
          <w:szCs w:val="24"/>
        </w:rPr>
        <w:t xml:space="preserve">.  The input matched the output.  The scale of risk was the same.  The objective of the pooling arrangement is to homogenize and blend risk, redistributing </w:t>
      </w:r>
      <w:r>
        <w:rPr>
          <w:rFonts w:ascii="Times New Roman" w:hAnsi="Times New Roman" w:cs="Times New Roman"/>
          <w:sz w:val="24"/>
          <w:szCs w:val="24"/>
        </w:rPr>
        <w:t xml:space="preserve">the </w:t>
      </w:r>
      <w:r w:rsidRPr="00ED5D5C">
        <w:rPr>
          <w:rFonts w:ascii="Times New Roman" w:hAnsi="Times New Roman" w:cs="Times New Roman"/>
          <w:sz w:val="24"/>
          <w:szCs w:val="24"/>
        </w:rPr>
        <w:t>same among the 58 participating captives</w:t>
      </w:r>
      <w:r>
        <w:rPr>
          <w:rFonts w:ascii="Times New Roman" w:hAnsi="Times New Roman" w:cs="Times New Roman"/>
          <w:sz w:val="24"/>
          <w:szCs w:val="24"/>
        </w:rPr>
        <w:t>.</w:t>
      </w:r>
    </w:p>
    <w:p w14:paraId="00B0F756" w14:textId="77777777" w:rsidR="000A2139" w:rsidRDefault="000A2139" w:rsidP="00DC7A8B">
      <w:pPr>
        <w:spacing w:after="0" w:line="240" w:lineRule="auto"/>
        <w:rPr>
          <w:rFonts w:ascii="Times New Roman" w:hAnsi="Times New Roman" w:cs="Times New Roman"/>
          <w:sz w:val="24"/>
          <w:szCs w:val="24"/>
        </w:rPr>
      </w:pPr>
    </w:p>
    <w:p w14:paraId="200D49DA" w14:textId="518D1DB1" w:rsidR="000A2139" w:rsidRPr="00DC7A8B" w:rsidRDefault="000A2139" w:rsidP="00C45418">
      <w:pPr>
        <w:spacing w:after="0" w:line="240" w:lineRule="auto"/>
        <w:rPr>
          <w:rFonts w:ascii="Times New Roman" w:hAnsi="Times New Roman" w:cs="Times New Roman"/>
          <w:sz w:val="24"/>
          <w:szCs w:val="24"/>
        </w:rPr>
      </w:pPr>
      <w:r w:rsidRPr="00DC7A8B">
        <w:rPr>
          <w:rFonts w:ascii="Times New Roman" w:hAnsi="Times New Roman" w:cs="Times New Roman"/>
          <w:sz w:val="24"/>
          <w:szCs w:val="24"/>
        </w:rPr>
        <w:t xml:space="preserve">The </w:t>
      </w:r>
      <w:r>
        <w:rPr>
          <w:rFonts w:ascii="Times New Roman" w:hAnsi="Times New Roman" w:cs="Times New Roman"/>
          <w:sz w:val="24"/>
          <w:szCs w:val="24"/>
        </w:rPr>
        <w:t xml:space="preserve">Opinion reflects the </w:t>
      </w:r>
      <w:r w:rsidRPr="00DC7A8B">
        <w:rPr>
          <w:rFonts w:ascii="Times New Roman" w:hAnsi="Times New Roman" w:cs="Times New Roman"/>
          <w:sz w:val="24"/>
          <w:szCs w:val="24"/>
        </w:rPr>
        <w:t xml:space="preserve">Court’s </w:t>
      </w:r>
      <w:r>
        <w:rPr>
          <w:rFonts w:ascii="Times New Roman" w:hAnsi="Times New Roman" w:cs="Times New Roman"/>
          <w:sz w:val="24"/>
          <w:szCs w:val="24"/>
        </w:rPr>
        <w:t xml:space="preserve">confusion as to how </w:t>
      </w:r>
      <w:r w:rsidRPr="00DC7A8B">
        <w:rPr>
          <w:rFonts w:ascii="Times New Roman" w:hAnsi="Times New Roman" w:cs="Times New Roman"/>
          <w:sz w:val="24"/>
          <w:szCs w:val="24"/>
        </w:rPr>
        <w:t xml:space="preserve">a risk reinsurance pool operates. </w:t>
      </w:r>
      <w:r>
        <w:rPr>
          <w:rFonts w:ascii="Times New Roman" w:hAnsi="Times New Roman" w:cs="Times New Roman"/>
          <w:sz w:val="24"/>
          <w:szCs w:val="24"/>
        </w:rPr>
        <w:t xml:space="preserve"> In summary, </w:t>
      </w:r>
      <w:r w:rsidRPr="00DC7A8B">
        <w:rPr>
          <w:rFonts w:ascii="Times New Roman" w:hAnsi="Times New Roman" w:cs="Times New Roman"/>
          <w:sz w:val="24"/>
          <w:szCs w:val="24"/>
          <w:u w:val="single"/>
        </w:rPr>
        <w:t xml:space="preserve">risk pooling </w:t>
      </w:r>
      <w:r w:rsidR="00E104BB">
        <w:rPr>
          <w:rFonts w:ascii="Times New Roman" w:hAnsi="Times New Roman" w:cs="Times New Roman"/>
          <w:sz w:val="24"/>
          <w:szCs w:val="24"/>
          <w:u w:val="single"/>
        </w:rPr>
        <w:t>a</w:t>
      </w:r>
      <w:r>
        <w:rPr>
          <w:rFonts w:ascii="Times New Roman" w:hAnsi="Times New Roman" w:cs="Times New Roman"/>
          <w:sz w:val="24"/>
          <w:szCs w:val="24"/>
          <w:u w:val="single"/>
        </w:rPr>
        <w:t xml:space="preserve">ffects the </w:t>
      </w:r>
      <w:bookmarkStart w:id="33" w:name="_Hlk523241435"/>
      <w:r w:rsidRPr="00DC7A8B">
        <w:rPr>
          <w:rFonts w:ascii="Times New Roman" w:hAnsi="Times New Roman" w:cs="Times New Roman"/>
          <w:sz w:val="24"/>
          <w:szCs w:val="24"/>
          <w:u w:val="single"/>
        </w:rPr>
        <w:t xml:space="preserve">exchange of </w:t>
      </w:r>
      <w:r>
        <w:rPr>
          <w:rFonts w:ascii="Times New Roman" w:hAnsi="Times New Roman" w:cs="Times New Roman"/>
          <w:sz w:val="24"/>
          <w:szCs w:val="24"/>
          <w:u w:val="single"/>
        </w:rPr>
        <w:t xml:space="preserve">an insured’s/insurer’s </w:t>
      </w:r>
      <w:r w:rsidRPr="00DC7A8B">
        <w:rPr>
          <w:rFonts w:ascii="Times New Roman" w:hAnsi="Times New Roman" w:cs="Times New Roman"/>
          <w:sz w:val="24"/>
          <w:szCs w:val="24"/>
          <w:u w:val="single"/>
        </w:rPr>
        <w:t xml:space="preserve">own risk for a percentage of the combined </w:t>
      </w:r>
      <w:r>
        <w:rPr>
          <w:rFonts w:ascii="Times New Roman" w:hAnsi="Times New Roman" w:cs="Times New Roman"/>
          <w:sz w:val="24"/>
          <w:szCs w:val="24"/>
          <w:u w:val="single"/>
        </w:rPr>
        <w:t xml:space="preserve">risks </w:t>
      </w:r>
      <w:r w:rsidRPr="00DC7A8B">
        <w:rPr>
          <w:rFonts w:ascii="Times New Roman" w:hAnsi="Times New Roman" w:cs="Times New Roman"/>
          <w:sz w:val="24"/>
          <w:szCs w:val="24"/>
          <w:u w:val="single"/>
        </w:rPr>
        <w:t xml:space="preserve">of all pool </w:t>
      </w:r>
      <w:r>
        <w:rPr>
          <w:rFonts w:ascii="Times New Roman" w:hAnsi="Times New Roman" w:cs="Times New Roman"/>
          <w:sz w:val="24"/>
          <w:szCs w:val="24"/>
          <w:u w:val="single"/>
        </w:rPr>
        <w:t>participants</w:t>
      </w:r>
      <w:bookmarkEnd w:id="33"/>
      <w:r w:rsidRPr="00DC7A8B">
        <w:rPr>
          <w:rFonts w:ascii="Times New Roman" w:hAnsi="Times New Roman" w:cs="Times New Roman"/>
          <w:sz w:val="24"/>
          <w:szCs w:val="24"/>
        </w:rPr>
        <w:t>.</w:t>
      </w:r>
      <w:r>
        <w:rPr>
          <w:rStyle w:val="EndnoteReference"/>
          <w:rFonts w:ascii="Times New Roman" w:hAnsi="Times New Roman" w:cs="Times New Roman"/>
          <w:sz w:val="24"/>
          <w:szCs w:val="24"/>
        </w:rPr>
        <w:endnoteReference w:id="94"/>
      </w:r>
      <w:r w:rsidRPr="00DC7A8B">
        <w:rPr>
          <w:rFonts w:ascii="Times New Roman" w:hAnsi="Times New Roman" w:cs="Times New Roman"/>
          <w:sz w:val="24"/>
          <w:szCs w:val="24"/>
        </w:rPr>
        <w:t xml:space="preserve">  Captives </w:t>
      </w:r>
      <w:r>
        <w:rPr>
          <w:rFonts w:ascii="Times New Roman" w:hAnsi="Times New Roman" w:cs="Times New Roman"/>
          <w:sz w:val="24"/>
          <w:szCs w:val="24"/>
        </w:rPr>
        <w:t xml:space="preserve">as well as commercial insurers </w:t>
      </w:r>
      <w:r w:rsidRPr="00DC7A8B">
        <w:rPr>
          <w:rFonts w:ascii="Times New Roman" w:hAnsi="Times New Roman" w:cs="Times New Roman"/>
          <w:sz w:val="24"/>
          <w:szCs w:val="24"/>
        </w:rPr>
        <w:t>participate in</w:t>
      </w:r>
      <w:r>
        <w:rPr>
          <w:rFonts w:ascii="Times New Roman" w:hAnsi="Times New Roman" w:cs="Times New Roman"/>
          <w:sz w:val="24"/>
          <w:szCs w:val="24"/>
        </w:rPr>
        <w:t xml:space="preserve"> </w:t>
      </w:r>
      <w:r w:rsidRPr="00DC7A8B">
        <w:rPr>
          <w:rFonts w:ascii="Times New Roman" w:hAnsi="Times New Roman" w:cs="Times New Roman"/>
          <w:sz w:val="24"/>
          <w:szCs w:val="24"/>
        </w:rPr>
        <w:t xml:space="preserve">risk </w:t>
      </w:r>
      <w:r>
        <w:rPr>
          <w:rFonts w:ascii="Times New Roman" w:hAnsi="Times New Roman" w:cs="Times New Roman"/>
          <w:sz w:val="24"/>
          <w:szCs w:val="24"/>
        </w:rPr>
        <w:t xml:space="preserve">diversification through </w:t>
      </w:r>
      <w:r w:rsidRPr="00DC7A8B">
        <w:rPr>
          <w:rFonts w:ascii="Times New Roman" w:hAnsi="Times New Roman" w:cs="Times New Roman"/>
          <w:sz w:val="24"/>
          <w:szCs w:val="24"/>
        </w:rPr>
        <w:t>pools for various reasons, including: (1) diversification of its underwriting portfolio, (2) reduction in the variability of retained captive losses by trading its own losses for a smaller portion of a large</w:t>
      </w:r>
      <w:r>
        <w:rPr>
          <w:rFonts w:ascii="Times New Roman" w:hAnsi="Times New Roman" w:cs="Times New Roman"/>
          <w:sz w:val="24"/>
          <w:szCs w:val="24"/>
        </w:rPr>
        <w:t>r</w:t>
      </w:r>
      <w:r w:rsidRPr="00DC7A8B">
        <w:rPr>
          <w:rFonts w:ascii="Times New Roman" w:hAnsi="Times New Roman" w:cs="Times New Roman"/>
          <w:sz w:val="24"/>
          <w:szCs w:val="24"/>
        </w:rPr>
        <w:t xml:space="preserve"> pool of more diversified losses, (3) </w:t>
      </w:r>
      <w:r>
        <w:rPr>
          <w:rFonts w:ascii="Times New Roman" w:hAnsi="Times New Roman" w:cs="Times New Roman"/>
          <w:sz w:val="24"/>
          <w:szCs w:val="24"/>
        </w:rPr>
        <w:t xml:space="preserve">likely leading to the </w:t>
      </w:r>
      <w:r w:rsidRPr="00DC7A8B">
        <w:rPr>
          <w:rFonts w:ascii="Times New Roman" w:hAnsi="Times New Roman" w:cs="Times New Roman"/>
          <w:sz w:val="24"/>
          <w:szCs w:val="24"/>
        </w:rPr>
        <w:t xml:space="preserve">stabilization of cash flow, and (4) access to third party premium in </w:t>
      </w:r>
      <w:r>
        <w:rPr>
          <w:rFonts w:ascii="Times New Roman" w:hAnsi="Times New Roman" w:cs="Times New Roman"/>
          <w:sz w:val="24"/>
          <w:szCs w:val="24"/>
        </w:rPr>
        <w:t xml:space="preserve">further </w:t>
      </w:r>
      <w:r w:rsidRPr="00DC7A8B">
        <w:rPr>
          <w:rFonts w:ascii="Times New Roman" w:hAnsi="Times New Roman" w:cs="Times New Roman"/>
          <w:sz w:val="24"/>
          <w:szCs w:val="24"/>
        </w:rPr>
        <w:t>support of a captive’s status as an insurance company for tax purposes.</w:t>
      </w:r>
      <w:r>
        <w:rPr>
          <w:rStyle w:val="EndnoteReference"/>
          <w:rFonts w:ascii="Times New Roman" w:hAnsi="Times New Roman" w:cs="Times New Roman"/>
          <w:sz w:val="24"/>
          <w:szCs w:val="24"/>
        </w:rPr>
        <w:endnoteReference w:id="95"/>
      </w:r>
      <w:r w:rsidRPr="00DC7A8B">
        <w:rPr>
          <w:rFonts w:ascii="Times New Roman" w:hAnsi="Times New Roman" w:cs="Times New Roman"/>
          <w:sz w:val="24"/>
          <w:szCs w:val="24"/>
        </w:rPr>
        <w:t xml:space="preserve">  </w:t>
      </w:r>
    </w:p>
    <w:p w14:paraId="38D6FF19" w14:textId="77777777" w:rsidR="000A2139" w:rsidRDefault="000A2139" w:rsidP="000021EC">
      <w:pPr>
        <w:spacing w:after="0" w:line="240" w:lineRule="auto"/>
        <w:rPr>
          <w:rFonts w:ascii="Times New Roman" w:hAnsi="Times New Roman" w:cs="Times New Roman"/>
          <w:sz w:val="24"/>
          <w:szCs w:val="24"/>
        </w:rPr>
      </w:pPr>
    </w:p>
    <w:p w14:paraId="2B052B53" w14:textId="0A5ED94E" w:rsidR="000A2139" w:rsidRDefault="000A2139" w:rsidP="00941C8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What the Court referred to above as a “perfect matching” of the dollar amount of payments </w:t>
      </w:r>
      <w:r w:rsidRPr="00CF2269">
        <w:rPr>
          <w:rFonts w:ascii="Times New Roman" w:hAnsi="Times New Roman" w:cs="Times New Roman"/>
          <w:sz w:val="24"/>
          <w:szCs w:val="24"/>
        </w:rPr>
        <w:t>(from insureds to PoolRe, and from PoolRe to captives)</w:t>
      </w:r>
      <w:r>
        <w:rPr>
          <w:rFonts w:ascii="Times New Roman" w:hAnsi="Times New Roman" w:cs="Times New Roman"/>
          <w:sz w:val="24"/>
          <w:szCs w:val="24"/>
        </w:rPr>
        <w:t xml:space="preserve"> is a function of the fact that the total amount of insureds’ premiums received by PoolRe were homogenized and blended and then ceded in total to the captives (including Reserve) pursuant to the quota share arrangement.  The Peak insureds’ relative participation level in the total pool of premiums determines the amount of premiums that PoolRe cedes to Reserve.  </w:t>
      </w:r>
      <w:r w:rsidRPr="00AB0D37">
        <w:rPr>
          <w:rFonts w:ascii="Times New Roman" w:hAnsi="Times New Roman" w:cs="Times New Roman"/>
          <w:sz w:val="24"/>
          <w:szCs w:val="24"/>
          <w:u w:val="single"/>
        </w:rPr>
        <w:t xml:space="preserve">In other words, </w:t>
      </w:r>
      <w:r>
        <w:rPr>
          <w:rFonts w:ascii="Times New Roman" w:hAnsi="Times New Roman" w:cs="Times New Roman"/>
          <w:sz w:val="24"/>
          <w:szCs w:val="24"/>
          <w:u w:val="single"/>
        </w:rPr>
        <w:t>assuming the proper pricing of Reserve’s risks, which was testified to at trial, and which the Court concedes,</w:t>
      </w:r>
      <w:r>
        <w:rPr>
          <w:rStyle w:val="EndnoteReference"/>
          <w:rFonts w:ascii="Times New Roman" w:hAnsi="Times New Roman" w:cs="Times New Roman"/>
          <w:sz w:val="24"/>
          <w:szCs w:val="24"/>
          <w:u w:val="single"/>
        </w:rPr>
        <w:endnoteReference w:id="96"/>
      </w:r>
      <w:r>
        <w:rPr>
          <w:rFonts w:ascii="Times New Roman" w:hAnsi="Times New Roman" w:cs="Times New Roman"/>
          <w:sz w:val="24"/>
          <w:szCs w:val="24"/>
          <w:u w:val="single"/>
        </w:rPr>
        <w:t xml:space="preserve"> </w:t>
      </w:r>
      <w:r w:rsidRPr="00AB0D37">
        <w:rPr>
          <w:rFonts w:ascii="Times New Roman" w:hAnsi="Times New Roman" w:cs="Times New Roman"/>
          <w:sz w:val="24"/>
          <w:szCs w:val="24"/>
          <w:u w:val="single"/>
        </w:rPr>
        <w:t xml:space="preserve">the </w:t>
      </w:r>
      <w:r>
        <w:rPr>
          <w:rFonts w:ascii="Times New Roman" w:hAnsi="Times New Roman" w:cs="Times New Roman"/>
          <w:sz w:val="24"/>
          <w:szCs w:val="24"/>
          <w:u w:val="single"/>
        </w:rPr>
        <w:t xml:space="preserve">dollar amount </w:t>
      </w:r>
      <w:r w:rsidRPr="00AB0D37">
        <w:rPr>
          <w:rFonts w:ascii="Times New Roman" w:hAnsi="Times New Roman" w:cs="Times New Roman"/>
          <w:sz w:val="24"/>
          <w:szCs w:val="24"/>
          <w:u w:val="single"/>
        </w:rPr>
        <w:t xml:space="preserve">of </w:t>
      </w:r>
      <w:r>
        <w:rPr>
          <w:rFonts w:ascii="Times New Roman" w:hAnsi="Times New Roman" w:cs="Times New Roman"/>
          <w:sz w:val="24"/>
          <w:szCs w:val="24"/>
          <w:u w:val="single"/>
        </w:rPr>
        <w:t xml:space="preserve">Reserve’s </w:t>
      </w:r>
      <w:r w:rsidRPr="00AB0D37">
        <w:rPr>
          <w:rFonts w:ascii="Times New Roman" w:hAnsi="Times New Roman" w:cs="Times New Roman"/>
          <w:sz w:val="24"/>
          <w:szCs w:val="24"/>
          <w:u w:val="single"/>
        </w:rPr>
        <w:t xml:space="preserve">risks </w:t>
      </w:r>
      <w:r>
        <w:rPr>
          <w:rFonts w:ascii="Times New Roman" w:hAnsi="Times New Roman" w:cs="Times New Roman"/>
          <w:sz w:val="24"/>
          <w:szCs w:val="24"/>
          <w:u w:val="single"/>
        </w:rPr>
        <w:t xml:space="preserve">received from the Peak insureds should </w:t>
      </w:r>
      <w:r w:rsidRPr="00AB0D37">
        <w:rPr>
          <w:rFonts w:ascii="Times New Roman" w:hAnsi="Times New Roman" w:cs="Times New Roman"/>
          <w:sz w:val="24"/>
          <w:szCs w:val="24"/>
          <w:u w:val="single"/>
        </w:rPr>
        <w:t xml:space="preserve">equal </w:t>
      </w:r>
      <w:r>
        <w:rPr>
          <w:rFonts w:ascii="Times New Roman" w:hAnsi="Times New Roman" w:cs="Times New Roman"/>
          <w:sz w:val="24"/>
          <w:szCs w:val="24"/>
          <w:u w:val="single"/>
        </w:rPr>
        <w:t xml:space="preserve">the dollar amount of </w:t>
      </w:r>
      <w:r w:rsidRPr="00AB0D37">
        <w:rPr>
          <w:rFonts w:ascii="Times New Roman" w:hAnsi="Times New Roman" w:cs="Times New Roman"/>
          <w:sz w:val="24"/>
          <w:szCs w:val="24"/>
          <w:u w:val="single"/>
        </w:rPr>
        <w:t xml:space="preserve">the </w:t>
      </w:r>
      <w:r>
        <w:rPr>
          <w:rFonts w:ascii="Times New Roman" w:hAnsi="Times New Roman" w:cs="Times New Roman"/>
          <w:sz w:val="24"/>
          <w:szCs w:val="24"/>
          <w:u w:val="single"/>
        </w:rPr>
        <w:t xml:space="preserve">blended </w:t>
      </w:r>
      <w:r w:rsidRPr="00AB0D37">
        <w:rPr>
          <w:rFonts w:ascii="Times New Roman" w:hAnsi="Times New Roman" w:cs="Times New Roman"/>
          <w:sz w:val="24"/>
          <w:szCs w:val="24"/>
          <w:u w:val="single"/>
        </w:rPr>
        <w:t xml:space="preserve">risks </w:t>
      </w:r>
      <w:r>
        <w:rPr>
          <w:rFonts w:ascii="Times New Roman" w:hAnsi="Times New Roman" w:cs="Times New Roman"/>
          <w:sz w:val="24"/>
          <w:szCs w:val="24"/>
          <w:u w:val="single"/>
        </w:rPr>
        <w:t>of the 200+ insureds which PoolRe then cedes to Reserve.</w:t>
      </w:r>
    </w:p>
    <w:p w14:paraId="005BEB05" w14:textId="77777777" w:rsidR="000A2139" w:rsidRDefault="000A2139" w:rsidP="000021EC">
      <w:pPr>
        <w:spacing w:after="0" w:line="240" w:lineRule="auto"/>
        <w:rPr>
          <w:rFonts w:ascii="Times New Roman" w:hAnsi="Times New Roman" w:cs="Times New Roman"/>
          <w:sz w:val="24"/>
          <w:szCs w:val="24"/>
        </w:rPr>
      </w:pPr>
    </w:p>
    <w:p w14:paraId="6153C674" w14:textId="77777777" w:rsidR="000A2139" w:rsidRDefault="000A2139" w:rsidP="000021EC">
      <w:pPr>
        <w:spacing w:after="0" w:line="240" w:lineRule="auto"/>
        <w:rPr>
          <w:rFonts w:ascii="Times New Roman" w:hAnsi="Times New Roman" w:cs="Times New Roman"/>
          <w:sz w:val="24"/>
          <w:szCs w:val="24"/>
        </w:rPr>
      </w:pPr>
      <w:r w:rsidRPr="00D83896">
        <w:rPr>
          <w:rFonts w:ascii="Times New Roman" w:hAnsi="Times New Roman" w:cs="Times New Roman"/>
          <w:sz w:val="24"/>
          <w:szCs w:val="24"/>
        </w:rPr>
        <w:t xml:space="preserve">Underlying these same dollar amounts of premiums were vast differences in the contractual obligations associated with what was paid to the pool by the insureds </w:t>
      </w:r>
      <w:r>
        <w:rPr>
          <w:rFonts w:ascii="Times New Roman" w:hAnsi="Times New Roman" w:cs="Times New Roman"/>
          <w:sz w:val="24"/>
          <w:szCs w:val="24"/>
        </w:rPr>
        <w:t xml:space="preserve">(including the Peak insureds) </w:t>
      </w:r>
      <w:r w:rsidRPr="00D83896">
        <w:rPr>
          <w:rFonts w:ascii="Times New Roman" w:hAnsi="Times New Roman" w:cs="Times New Roman"/>
          <w:sz w:val="24"/>
          <w:szCs w:val="24"/>
        </w:rPr>
        <w:t xml:space="preserve">relative to what was ceded to Reserve (and the </w:t>
      </w:r>
      <w:r>
        <w:rPr>
          <w:rFonts w:ascii="Times New Roman" w:hAnsi="Times New Roman" w:cs="Times New Roman"/>
          <w:sz w:val="24"/>
          <w:szCs w:val="24"/>
        </w:rPr>
        <w:t xml:space="preserve">58 </w:t>
      </w:r>
      <w:r w:rsidRPr="00D83896">
        <w:rPr>
          <w:rFonts w:ascii="Times New Roman" w:hAnsi="Times New Roman" w:cs="Times New Roman"/>
          <w:sz w:val="24"/>
          <w:szCs w:val="24"/>
        </w:rPr>
        <w:t>participating insurers) by the pool.  PoolRe insured premiums from the Peak insureds, blending such with premiums from 200</w:t>
      </w:r>
      <w:r>
        <w:rPr>
          <w:rFonts w:ascii="Times New Roman" w:hAnsi="Times New Roman" w:cs="Times New Roman"/>
          <w:sz w:val="24"/>
          <w:szCs w:val="24"/>
        </w:rPr>
        <w:t>+</w:t>
      </w:r>
      <w:r w:rsidRPr="00D83896">
        <w:rPr>
          <w:rFonts w:ascii="Times New Roman" w:hAnsi="Times New Roman" w:cs="Times New Roman"/>
          <w:sz w:val="24"/>
          <w:szCs w:val="24"/>
        </w:rPr>
        <w:t xml:space="preserve"> other insureds</w:t>
      </w:r>
      <w:r>
        <w:rPr>
          <w:rFonts w:ascii="Times New Roman" w:hAnsi="Times New Roman" w:cs="Times New Roman"/>
          <w:sz w:val="24"/>
          <w:szCs w:val="24"/>
        </w:rPr>
        <w:t xml:space="preserve"> on 650+ coverages</w:t>
      </w:r>
      <w:r w:rsidRPr="00D83896">
        <w:rPr>
          <w:rFonts w:ascii="Times New Roman" w:hAnsi="Times New Roman" w:cs="Times New Roman"/>
          <w:sz w:val="24"/>
          <w:szCs w:val="24"/>
        </w:rPr>
        <w:t>.  In turn, PoolRe ceded to the participating insurers (including Reserve) a percentage of the overall blended risks.  To call this “circular” is clearly</w:t>
      </w:r>
      <w:r>
        <w:rPr>
          <w:rFonts w:ascii="Times New Roman" w:hAnsi="Times New Roman" w:cs="Times New Roman"/>
          <w:sz w:val="24"/>
          <w:szCs w:val="24"/>
        </w:rPr>
        <w:t xml:space="preserve"> </w:t>
      </w:r>
      <w:r w:rsidRPr="00D83896">
        <w:rPr>
          <w:rFonts w:ascii="Times New Roman" w:hAnsi="Times New Roman" w:cs="Times New Roman"/>
          <w:sz w:val="24"/>
          <w:szCs w:val="24"/>
        </w:rPr>
        <w:t>erroneous</w:t>
      </w:r>
      <w:r>
        <w:rPr>
          <w:rFonts w:ascii="Times New Roman" w:hAnsi="Times New Roman" w:cs="Times New Roman"/>
          <w:sz w:val="24"/>
          <w:szCs w:val="24"/>
        </w:rPr>
        <w:t>.</w:t>
      </w:r>
    </w:p>
    <w:p w14:paraId="65F12D5A" w14:textId="77777777" w:rsidR="000A2139" w:rsidRDefault="000A2139" w:rsidP="000021EC">
      <w:pPr>
        <w:spacing w:after="0" w:line="240" w:lineRule="auto"/>
        <w:rPr>
          <w:rFonts w:ascii="Times New Roman" w:hAnsi="Times New Roman" w:cs="Times New Roman"/>
          <w:sz w:val="24"/>
          <w:szCs w:val="24"/>
        </w:rPr>
      </w:pPr>
    </w:p>
    <w:p w14:paraId="7065BC6B" w14:textId="77777777" w:rsidR="000A2139" w:rsidRDefault="000A2139" w:rsidP="001405C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Furthermore, the fact that hundreds of unaffiliated participants in the pooling program were willing to agree on the particulars of the quota share arrangement and corresponding stop loss endorsements indicates the </w:t>
      </w:r>
      <w:r w:rsidRPr="0043456E">
        <w:rPr>
          <w:rFonts w:ascii="Times New Roman" w:hAnsi="Times New Roman" w:cs="Times New Roman"/>
          <w:sz w:val="24"/>
          <w:szCs w:val="24"/>
          <w:u w:val="single"/>
        </w:rPr>
        <w:t>exact opposite</w:t>
      </w:r>
      <w:r>
        <w:rPr>
          <w:rFonts w:ascii="Times New Roman" w:hAnsi="Times New Roman" w:cs="Times New Roman"/>
          <w:sz w:val="24"/>
          <w:szCs w:val="24"/>
        </w:rPr>
        <w:t xml:space="preserve"> of what the Court suggests above.  By agreeing to participate in the pooling arrangement, agreement was had by all that the risks of (for example, Reserve’s) insured affiliates paid to PoolRe </w:t>
      </w:r>
      <w:r>
        <w:rPr>
          <w:rFonts w:ascii="Times New Roman" w:hAnsi="Times New Roman" w:cs="Times New Roman"/>
          <w:sz w:val="24"/>
          <w:szCs w:val="24"/>
          <w:u w:val="single"/>
        </w:rPr>
        <w:t>we</w:t>
      </w:r>
      <w:r w:rsidRPr="00A85A96">
        <w:rPr>
          <w:rFonts w:ascii="Times New Roman" w:hAnsi="Times New Roman" w:cs="Times New Roman"/>
          <w:sz w:val="24"/>
          <w:szCs w:val="24"/>
          <w:u w:val="single"/>
        </w:rPr>
        <w:t>re in fact “comparable in scale”</w:t>
      </w:r>
      <w:r>
        <w:rPr>
          <w:rFonts w:ascii="Times New Roman" w:hAnsi="Times New Roman" w:cs="Times New Roman"/>
          <w:sz w:val="24"/>
          <w:szCs w:val="24"/>
        </w:rPr>
        <w:t xml:space="preserve"> with the blended risks (of all other captive participants.  The Court not only erred in its legal interpretation of the contractual provisions under the stop loss and quota share arrangements but was also clearly erroneous in its factual findings.  </w:t>
      </w:r>
    </w:p>
    <w:p w14:paraId="09FA5633" w14:textId="77777777" w:rsidR="000A2139" w:rsidRDefault="000A2139" w:rsidP="001405C8">
      <w:pPr>
        <w:spacing w:after="0" w:line="240" w:lineRule="auto"/>
        <w:rPr>
          <w:rFonts w:ascii="Times New Roman" w:hAnsi="Times New Roman" w:cs="Times New Roman"/>
          <w:sz w:val="24"/>
          <w:szCs w:val="24"/>
        </w:rPr>
      </w:pPr>
    </w:p>
    <w:p w14:paraId="63C9A9C8" w14:textId="403646B0" w:rsidR="000A2139" w:rsidRDefault="000A2139" w:rsidP="00A377F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large number of unrelated participants creates a presumption not rebutted by testimony (the government’s expert </w:t>
      </w:r>
      <w:r w:rsidRPr="00DE2112">
        <w:rPr>
          <w:rFonts w:ascii="Times New Roman" w:hAnsi="Times New Roman" w:cs="Times New Roman"/>
          <w:sz w:val="24"/>
          <w:szCs w:val="24"/>
        </w:rPr>
        <w:t xml:space="preserve">expressly declined to provide any pricing testimony) as to the arm’s length nature of the relationships among the many unaffiliated parties.  The quota share arrangement </w:t>
      </w:r>
      <w:r w:rsidRPr="00DE2112">
        <w:rPr>
          <w:rFonts w:ascii="Times New Roman" w:hAnsi="Times New Roman" w:cs="Times New Roman"/>
          <w:sz w:val="24"/>
          <w:szCs w:val="24"/>
          <w:u w:val="single"/>
        </w:rPr>
        <w:t>was the product of arm’s-length negotiations</w:t>
      </w:r>
      <w:r w:rsidRPr="00DE2112">
        <w:rPr>
          <w:rFonts w:ascii="Times New Roman" w:hAnsi="Times New Roman" w:cs="Times New Roman"/>
          <w:sz w:val="24"/>
          <w:szCs w:val="24"/>
        </w:rPr>
        <w:t xml:space="preserve"> among the captive participants.  The Court’s </w:t>
      </w:r>
      <w:r w:rsidRPr="00DE2112">
        <w:rPr>
          <w:rFonts w:ascii="Times New Roman" w:hAnsi="Times New Roman" w:cs="Times New Roman"/>
          <w:sz w:val="24"/>
          <w:szCs w:val="24"/>
        </w:rPr>
        <w:lastRenderedPageBreak/>
        <w:t>finding that Reserve’s premiums (charged to the Peak insureds) were calculated “using objective criteria and what appear to be actuarial meth</w:t>
      </w:r>
      <w:r w:rsidRPr="00A377FF">
        <w:rPr>
          <w:rFonts w:ascii="Times New Roman" w:hAnsi="Times New Roman" w:cs="Times New Roman"/>
          <w:sz w:val="24"/>
          <w:szCs w:val="24"/>
        </w:rPr>
        <w:t>ods</w:t>
      </w:r>
      <w:r>
        <w:rPr>
          <w:rFonts w:ascii="Times New Roman" w:hAnsi="Times New Roman" w:cs="Times New Roman"/>
          <w:sz w:val="24"/>
          <w:szCs w:val="24"/>
        </w:rPr>
        <w:t>”</w:t>
      </w:r>
      <w:r>
        <w:rPr>
          <w:rStyle w:val="EndnoteReference"/>
          <w:rFonts w:ascii="Times New Roman" w:hAnsi="Times New Roman" w:cs="Times New Roman"/>
          <w:sz w:val="24"/>
          <w:szCs w:val="24"/>
        </w:rPr>
        <w:endnoteReference w:id="97"/>
      </w:r>
      <w:r>
        <w:rPr>
          <w:rFonts w:ascii="Times New Roman" w:hAnsi="Times New Roman" w:cs="Times New Roman"/>
          <w:sz w:val="24"/>
          <w:szCs w:val="24"/>
        </w:rPr>
        <w:t xml:space="preserve"> was the result of voluminous testimony, including the unchallenged </w:t>
      </w:r>
      <w:r w:rsidRPr="002D0823">
        <w:rPr>
          <w:rFonts w:ascii="Times New Roman" w:hAnsi="Times New Roman" w:cs="Times New Roman"/>
          <w:sz w:val="24"/>
          <w:szCs w:val="24"/>
        </w:rPr>
        <w:t>testimony</w:t>
      </w:r>
      <w:r>
        <w:rPr>
          <w:rFonts w:ascii="Times New Roman" w:hAnsi="Times New Roman" w:cs="Times New Roman"/>
          <w:sz w:val="24"/>
          <w:szCs w:val="24"/>
        </w:rPr>
        <w:t xml:space="preserve"> of McNeel</w:t>
      </w:r>
      <w:r w:rsidRPr="002D0823">
        <w:rPr>
          <w:rFonts w:ascii="Times New Roman" w:hAnsi="Times New Roman" w:cs="Times New Roman"/>
          <w:sz w:val="24"/>
          <w:szCs w:val="24"/>
        </w:rPr>
        <w:t xml:space="preserve"> that the same process was followed for all other pool participants</w:t>
      </w:r>
      <w:r>
        <w:rPr>
          <w:rFonts w:ascii="Times New Roman" w:hAnsi="Times New Roman" w:cs="Times New Roman"/>
          <w:sz w:val="24"/>
          <w:szCs w:val="24"/>
        </w:rPr>
        <w:t>.</w:t>
      </w:r>
      <w:r w:rsidRPr="002D0823">
        <w:rPr>
          <w:rStyle w:val="EndnoteReference"/>
          <w:rFonts w:ascii="Times New Roman" w:hAnsi="Times New Roman" w:cs="Times New Roman"/>
          <w:sz w:val="24"/>
          <w:szCs w:val="24"/>
        </w:rPr>
        <w:endnoteReference w:id="98"/>
      </w:r>
      <w:r w:rsidRPr="002D0823">
        <w:rPr>
          <w:rFonts w:ascii="Times New Roman" w:hAnsi="Times New Roman" w:cs="Times New Roman"/>
          <w:sz w:val="24"/>
          <w:szCs w:val="24"/>
        </w:rPr>
        <w:t xml:space="preserve"> </w:t>
      </w:r>
      <w:r>
        <w:rPr>
          <w:rFonts w:ascii="Times New Roman" w:hAnsi="Times New Roman" w:cs="Times New Roman"/>
          <w:sz w:val="24"/>
          <w:szCs w:val="24"/>
        </w:rPr>
        <w:t xml:space="preserve"> This should have fully resolved the Court’s </w:t>
      </w:r>
      <w:r w:rsidRPr="002D0823">
        <w:rPr>
          <w:rFonts w:ascii="Times New Roman" w:hAnsi="Times New Roman" w:cs="Times New Roman"/>
          <w:sz w:val="24"/>
          <w:szCs w:val="24"/>
        </w:rPr>
        <w:t>question that all policies and attendant risks were properly priced</w:t>
      </w:r>
      <w:r>
        <w:rPr>
          <w:rFonts w:ascii="Times New Roman" w:hAnsi="Times New Roman" w:cs="Times New Roman"/>
          <w:sz w:val="24"/>
          <w:szCs w:val="24"/>
        </w:rPr>
        <w:t xml:space="preserve"> and a result of arm’s-length negotiations</w:t>
      </w:r>
      <w:r w:rsidRPr="002D0823">
        <w:rPr>
          <w:rFonts w:ascii="Times New Roman" w:hAnsi="Times New Roman" w:cs="Times New Roman"/>
          <w:sz w:val="24"/>
          <w:szCs w:val="24"/>
        </w:rPr>
        <w:t>.  Implicit is that the policies’ pricing accounts for the disparate risk exposures of the participants.  That is, the cost of a pollution liability policy for the Peak insureds in Idaho is different from that</w:t>
      </w:r>
      <w:r>
        <w:rPr>
          <w:rFonts w:ascii="Times New Roman" w:hAnsi="Times New Roman" w:cs="Times New Roman"/>
          <w:sz w:val="24"/>
          <w:szCs w:val="24"/>
        </w:rPr>
        <w:t xml:space="preserve"> of a pollution liability policy of an industrial cooling company in California.</w:t>
      </w:r>
    </w:p>
    <w:p w14:paraId="4A8353E5" w14:textId="77777777" w:rsidR="000A2139" w:rsidRDefault="000A2139" w:rsidP="000021EC">
      <w:pPr>
        <w:spacing w:after="0" w:line="240" w:lineRule="auto"/>
        <w:rPr>
          <w:rFonts w:ascii="Times New Roman" w:hAnsi="Times New Roman" w:cs="Times New Roman"/>
          <w:sz w:val="24"/>
          <w:szCs w:val="24"/>
        </w:rPr>
      </w:pPr>
    </w:p>
    <w:p w14:paraId="2B3643CC" w14:textId="77777777" w:rsidR="000A2139" w:rsidRDefault="000A2139" w:rsidP="005203E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Court’s conclusions cannot be reconciled with the unchallenged testimony at trial that </w:t>
      </w:r>
      <w:r w:rsidRPr="00B75233">
        <w:rPr>
          <w:rFonts w:ascii="Times New Roman" w:hAnsi="Times New Roman" w:cs="Times New Roman"/>
          <w:sz w:val="24"/>
          <w:szCs w:val="24"/>
        </w:rPr>
        <w:t xml:space="preserve">each captive’s direct written policies were </w:t>
      </w:r>
      <w:r>
        <w:rPr>
          <w:rFonts w:ascii="Times New Roman" w:hAnsi="Times New Roman" w:cs="Times New Roman"/>
          <w:sz w:val="24"/>
          <w:szCs w:val="24"/>
        </w:rPr>
        <w:t xml:space="preserve">based on pricing input </w:t>
      </w:r>
      <w:r w:rsidRPr="00B75233">
        <w:rPr>
          <w:rFonts w:ascii="Times New Roman" w:hAnsi="Times New Roman" w:cs="Times New Roman"/>
          <w:sz w:val="24"/>
          <w:szCs w:val="24"/>
        </w:rPr>
        <w:t xml:space="preserve">from </w:t>
      </w:r>
      <w:r>
        <w:rPr>
          <w:rFonts w:ascii="Times New Roman" w:hAnsi="Times New Roman" w:cs="Times New Roman"/>
          <w:sz w:val="24"/>
          <w:szCs w:val="24"/>
        </w:rPr>
        <w:t xml:space="preserve">insurance professionals at </w:t>
      </w:r>
      <w:r w:rsidRPr="00B75233">
        <w:rPr>
          <w:rFonts w:ascii="Times New Roman" w:hAnsi="Times New Roman" w:cs="Times New Roman"/>
          <w:sz w:val="24"/>
          <w:szCs w:val="24"/>
        </w:rPr>
        <w:t>Mid-Continent General Agency, Inc.</w:t>
      </w:r>
      <w:r>
        <w:rPr>
          <w:rStyle w:val="EndnoteReference"/>
          <w:rFonts w:ascii="Times New Roman" w:hAnsi="Times New Roman" w:cs="Times New Roman"/>
          <w:sz w:val="24"/>
          <w:szCs w:val="24"/>
        </w:rPr>
        <w:endnoteReference w:id="99"/>
      </w:r>
      <w:r>
        <w:rPr>
          <w:rFonts w:ascii="Times New Roman" w:hAnsi="Times New Roman" w:cs="Times New Roman"/>
          <w:sz w:val="24"/>
          <w:szCs w:val="24"/>
        </w:rPr>
        <w:t xml:space="preserve">  Thus, </w:t>
      </w:r>
      <w:r w:rsidRPr="005F3013">
        <w:rPr>
          <w:rFonts w:ascii="Times New Roman" w:hAnsi="Times New Roman" w:cs="Times New Roman"/>
          <w:sz w:val="24"/>
          <w:szCs w:val="24"/>
          <w:u w:val="single"/>
        </w:rPr>
        <w:t>each direct polic</w:t>
      </w:r>
      <w:r>
        <w:rPr>
          <w:rFonts w:ascii="Times New Roman" w:hAnsi="Times New Roman" w:cs="Times New Roman"/>
          <w:sz w:val="24"/>
          <w:szCs w:val="24"/>
          <w:u w:val="single"/>
        </w:rPr>
        <w:t xml:space="preserve">y in the pool was </w:t>
      </w:r>
      <w:r w:rsidRPr="005F3013">
        <w:rPr>
          <w:rFonts w:ascii="Times New Roman" w:hAnsi="Times New Roman" w:cs="Times New Roman"/>
          <w:sz w:val="24"/>
          <w:szCs w:val="24"/>
          <w:u w:val="single"/>
        </w:rPr>
        <w:t>already risk-adjusted and reflected an arm’s-length price before any pooling of risks and</w:t>
      </w:r>
      <w:r>
        <w:rPr>
          <w:rFonts w:ascii="Times New Roman" w:hAnsi="Times New Roman" w:cs="Times New Roman"/>
          <w:sz w:val="24"/>
          <w:szCs w:val="24"/>
          <w:u w:val="single"/>
        </w:rPr>
        <w:t xml:space="preserve"> </w:t>
      </w:r>
      <w:r w:rsidRPr="005F3013">
        <w:rPr>
          <w:rFonts w:ascii="Times New Roman" w:hAnsi="Times New Roman" w:cs="Times New Roman"/>
          <w:sz w:val="24"/>
          <w:szCs w:val="24"/>
          <w:u w:val="single"/>
        </w:rPr>
        <w:t>premiums took place</w:t>
      </w:r>
      <w:r>
        <w:rPr>
          <w:rFonts w:ascii="Times New Roman" w:hAnsi="Times New Roman" w:cs="Times New Roman"/>
          <w:sz w:val="24"/>
          <w:szCs w:val="24"/>
        </w:rPr>
        <w:t xml:space="preserve"> via the PoolRe quota share arrangement. The Court also was clearly erroneous in not recognizing this fact. </w:t>
      </w:r>
    </w:p>
    <w:p w14:paraId="5BD3A726" w14:textId="77777777" w:rsidR="000A2139" w:rsidRDefault="000A2139" w:rsidP="000021EC">
      <w:pPr>
        <w:spacing w:after="0" w:line="240" w:lineRule="auto"/>
        <w:rPr>
          <w:rFonts w:ascii="Times New Roman" w:hAnsi="Times New Roman" w:cs="Times New Roman"/>
          <w:sz w:val="24"/>
          <w:szCs w:val="24"/>
          <w:highlight w:val="yellow"/>
        </w:rPr>
      </w:pPr>
    </w:p>
    <w:p w14:paraId="61C045ED" w14:textId="345D740A" w:rsidR="000A2139" w:rsidRDefault="000A2139" w:rsidP="008E4356">
      <w:pPr>
        <w:spacing w:after="0" w:line="240" w:lineRule="auto"/>
        <w:rPr>
          <w:rFonts w:ascii="Times New Roman" w:hAnsi="Times New Roman" w:cs="Times New Roman"/>
          <w:sz w:val="24"/>
          <w:szCs w:val="24"/>
        </w:rPr>
      </w:pPr>
      <w:r w:rsidRPr="003D41A9">
        <w:rPr>
          <w:rFonts w:ascii="Times New Roman" w:hAnsi="Times New Roman" w:cs="Times New Roman"/>
          <w:sz w:val="24"/>
          <w:szCs w:val="24"/>
        </w:rPr>
        <w:t>The</w:t>
      </w:r>
      <w:r>
        <w:rPr>
          <w:rFonts w:ascii="Times New Roman" w:hAnsi="Times New Roman" w:cs="Times New Roman"/>
          <w:sz w:val="24"/>
          <w:szCs w:val="24"/>
        </w:rPr>
        <w:t xml:space="preserve"> </w:t>
      </w:r>
      <w:r w:rsidRPr="003D41A9">
        <w:rPr>
          <w:rFonts w:ascii="Times New Roman" w:hAnsi="Times New Roman" w:cs="Times New Roman"/>
          <w:sz w:val="24"/>
          <w:szCs w:val="24"/>
        </w:rPr>
        <w:t>testimony at trial</w:t>
      </w:r>
      <w:r>
        <w:rPr>
          <w:rFonts w:ascii="Times New Roman" w:hAnsi="Times New Roman" w:cs="Times New Roman"/>
          <w:sz w:val="24"/>
          <w:szCs w:val="24"/>
        </w:rPr>
        <w:t xml:space="preserve">, for which the government offered no contrary evidence, included that </w:t>
      </w:r>
      <w:r w:rsidRPr="003D41A9">
        <w:rPr>
          <w:rFonts w:ascii="Times New Roman" w:hAnsi="Times New Roman" w:cs="Times New Roman"/>
          <w:sz w:val="24"/>
          <w:szCs w:val="24"/>
        </w:rPr>
        <w:t xml:space="preserve">once the indications were received </w:t>
      </w:r>
      <w:r>
        <w:rPr>
          <w:rFonts w:ascii="Times New Roman" w:hAnsi="Times New Roman" w:cs="Times New Roman"/>
          <w:sz w:val="24"/>
          <w:szCs w:val="24"/>
        </w:rPr>
        <w:t>by Reserve,</w:t>
      </w:r>
      <w:r w:rsidRPr="003D41A9">
        <w:rPr>
          <w:rFonts w:ascii="Times New Roman" w:hAnsi="Times New Roman" w:cs="Times New Roman"/>
          <w:sz w:val="24"/>
          <w:szCs w:val="24"/>
        </w:rPr>
        <w:t xml:space="preserve"> the insurance manager’s underwriter, himself a Chartered Property &amp; Casualty Underwriter, would independently review and </w:t>
      </w:r>
      <w:r>
        <w:rPr>
          <w:rFonts w:ascii="Times New Roman" w:hAnsi="Times New Roman" w:cs="Times New Roman"/>
          <w:sz w:val="24"/>
          <w:szCs w:val="24"/>
        </w:rPr>
        <w:t xml:space="preserve">further </w:t>
      </w:r>
      <w:r w:rsidRPr="003D41A9">
        <w:rPr>
          <w:rFonts w:ascii="Times New Roman" w:hAnsi="Times New Roman" w:cs="Times New Roman"/>
          <w:sz w:val="24"/>
          <w:szCs w:val="24"/>
        </w:rPr>
        <w:t>develop premium rates based on these premium indications.</w:t>
      </w:r>
      <w:r>
        <w:rPr>
          <w:rStyle w:val="EndnoteReference"/>
          <w:rFonts w:ascii="Times New Roman" w:hAnsi="Times New Roman" w:cs="Times New Roman"/>
          <w:sz w:val="24"/>
          <w:szCs w:val="24"/>
        </w:rPr>
        <w:endnoteReference w:id="100"/>
      </w:r>
      <w:r w:rsidRPr="003D41A9">
        <w:rPr>
          <w:rFonts w:ascii="Times New Roman" w:hAnsi="Times New Roman" w:cs="Times New Roman"/>
          <w:sz w:val="24"/>
          <w:szCs w:val="24"/>
        </w:rPr>
        <w:t xml:space="preserve"> As with the MGA’s pricing indications, every policy for every captive was individually-priced according to the risk exposures of the insureds by a Chartered Property and Casualty Underwriter, </w:t>
      </w:r>
      <w:r>
        <w:rPr>
          <w:rFonts w:ascii="Times New Roman" w:hAnsi="Times New Roman" w:cs="Times New Roman"/>
          <w:sz w:val="24"/>
          <w:szCs w:val="24"/>
        </w:rPr>
        <w:t xml:space="preserve">having as well the </w:t>
      </w:r>
      <w:r w:rsidRPr="003D41A9">
        <w:rPr>
          <w:rFonts w:ascii="Times New Roman" w:hAnsi="Times New Roman" w:cs="Times New Roman"/>
          <w:sz w:val="24"/>
          <w:szCs w:val="24"/>
        </w:rPr>
        <w:t>MGA</w:t>
      </w:r>
      <w:r>
        <w:rPr>
          <w:rFonts w:ascii="Times New Roman" w:hAnsi="Times New Roman" w:cs="Times New Roman"/>
          <w:sz w:val="24"/>
          <w:szCs w:val="24"/>
        </w:rPr>
        <w:t xml:space="preserve">’s </w:t>
      </w:r>
      <w:r w:rsidRPr="003D41A9">
        <w:rPr>
          <w:rFonts w:ascii="Times New Roman" w:hAnsi="Times New Roman" w:cs="Times New Roman"/>
          <w:sz w:val="24"/>
          <w:szCs w:val="24"/>
        </w:rPr>
        <w:t xml:space="preserve">individual pricing indications on each policy for each </w:t>
      </w:r>
      <w:r>
        <w:rPr>
          <w:rFonts w:ascii="Times New Roman" w:hAnsi="Times New Roman" w:cs="Times New Roman"/>
          <w:sz w:val="24"/>
          <w:szCs w:val="24"/>
        </w:rPr>
        <w:t xml:space="preserve">participating </w:t>
      </w:r>
      <w:r w:rsidRPr="003D41A9">
        <w:rPr>
          <w:rFonts w:ascii="Times New Roman" w:hAnsi="Times New Roman" w:cs="Times New Roman"/>
          <w:sz w:val="24"/>
          <w:szCs w:val="24"/>
        </w:rPr>
        <w:t>captive.</w:t>
      </w:r>
      <w:r>
        <w:rPr>
          <w:rStyle w:val="EndnoteReference"/>
          <w:rFonts w:ascii="Times New Roman" w:hAnsi="Times New Roman" w:cs="Times New Roman"/>
          <w:sz w:val="24"/>
          <w:szCs w:val="24"/>
        </w:rPr>
        <w:endnoteReference w:id="101"/>
      </w:r>
    </w:p>
    <w:p w14:paraId="28478F3C" w14:textId="77777777" w:rsidR="000A2139" w:rsidRPr="003D41A9" w:rsidRDefault="000A2139" w:rsidP="00C342AD">
      <w:pPr>
        <w:spacing w:after="0" w:line="240" w:lineRule="auto"/>
        <w:rPr>
          <w:rFonts w:ascii="Times New Roman" w:hAnsi="Times New Roman" w:cs="Times New Roman"/>
          <w:sz w:val="24"/>
          <w:szCs w:val="24"/>
        </w:rPr>
      </w:pPr>
    </w:p>
    <w:p w14:paraId="5C4EA71E" w14:textId="77777777" w:rsidR="000A2139" w:rsidRDefault="000A2139" w:rsidP="001E1078">
      <w:pPr>
        <w:spacing w:after="0" w:line="240" w:lineRule="auto"/>
        <w:rPr>
          <w:rFonts w:ascii="Times New Roman" w:hAnsi="Times New Roman" w:cs="Times New Roman"/>
          <w:sz w:val="24"/>
          <w:szCs w:val="24"/>
        </w:rPr>
      </w:pPr>
      <w:r>
        <w:rPr>
          <w:rFonts w:ascii="Times New Roman" w:hAnsi="Times New Roman" w:cs="Times New Roman"/>
          <w:sz w:val="24"/>
          <w:szCs w:val="24"/>
        </w:rPr>
        <w:t>More specifically, t</w:t>
      </w:r>
      <w:r w:rsidRPr="003D41A9">
        <w:rPr>
          <w:rFonts w:ascii="Times New Roman" w:hAnsi="Times New Roman" w:cs="Times New Roman"/>
          <w:sz w:val="24"/>
          <w:szCs w:val="24"/>
        </w:rPr>
        <w:t xml:space="preserve">he </w:t>
      </w:r>
      <w:r>
        <w:rPr>
          <w:rFonts w:ascii="Times New Roman" w:hAnsi="Times New Roman" w:cs="Times New Roman"/>
          <w:sz w:val="24"/>
          <w:szCs w:val="24"/>
        </w:rPr>
        <w:t xml:space="preserve">trial </w:t>
      </w:r>
      <w:r w:rsidRPr="003D41A9">
        <w:rPr>
          <w:rFonts w:ascii="Times New Roman" w:hAnsi="Times New Roman" w:cs="Times New Roman"/>
          <w:sz w:val="24"/>
          <w:szCs w:val="24"/>
        </w:rPr>
        <w:t>testimony demonstrated that</w:t>
      </w:r>
      <w:r>
        <w:rPr>
          <w:rFonts w:ascii="Times New Roman" w:hAnsi="Times New Roman" w:cs="Times New Roman"/>
          <w:sz w:val="24"/>
          <w:szCs w:val="24"/>
        </w:rPr>
        <w:t>,</w:t>
      </w:r>
      <w:r w:rsidRPr="003D41A9">
        <w:rPr>
          <w:rFonts w:ascii="Times New Roman" w:hAnsi="Times New Roman" w:cs="Times New Roman"/>
          <w:sz w:val="24"/>
          <w:szCs w:val="24"/>
        </w:rPr>
        <w:t xml:space="preserve"> once the </w:t>
      </w:r>
      <w:r>
        <w:rPr>
          <w:rFonts w:ascii="Times New Roman" w:hAnsi="Times New Roman" w:cs="Times New Roman"/>
          <w:sz w:val="24"/>
          <w:szCs w:val="24"/>
        </w:rPr>
        <w:t xml:space="preserve">pricing </w:t>
      </w:r>
      <w:r w:rsidRPr="003D41A9">
        <w:rPr>
          <w:rFonts w:ascii="Times New Roman" w:hAnsi="Times New Roman" w:cs="Times New Roman"/>
          <w:sz w:val="24"/>
          <w:szCs w:val="24"/>
        </w:rPr>
        <w:t xml:space="preserve">indications were received by </w:t>
      </w:r>
      <w:r>
        <w:rPr>
          <w:rFonts w:ascii="Times New Roman" w:hAnsi="Times New Roman" w:cs="Times New Roman"/>
          <w:sz w:val="24"/>
          <w:szCs w:val="24"/>
        </w:rPr>
        <w:t xml:space="preserve">Reserve and its statutory </w:t>
      </w:r>
      <w:r w:rsidRPr="003D41A9">
        <w:rPr>
          <w:rFonts w:ascii="Times New Roman" w:hAnsi="Times New Roman" w:cs="Times New Roman"/>
          <w:sz w:val="24"/>
          <w:szCs w:val="24"/>
        </w:rPr>
        <w:t>insurance manager</w:t>
      </w:r>
      <w:r>
        <w:rPr>
          <w:rFonts w:ascii="Times New Roman" w:hAnsi="Times New Roman" w:cs="Times New Roman"/>
          <w:sz w:val="24"/>
          <w:szCs w:val="24"/>
        </w:rPr>
        <w:t xml:space="preserve">, </w:t>
      </w:r>
      <w:r w:rsidRPr="003D41A9">
        <w:rPr>
          <w:rFonts w:ascii="Times New Roman" w:hAnsi="Times New Roman" w:cs="Times New Roman"/>
          <w:sz w:val="24"/>
          <w:szCs w:val="24"/>
        </w:rPr>
        <w:t xml:space="preserve">the insurance manager’s </w:t>
      </w:r>
      <w:r>
        <w:rPr>
          <w:rFonts w:ascii="Times New Roman" w:hAnsi="Times New Roman" w:cs="Times New Roman"/>
          <w:sz w:val="24"/>
          <w:szCs w:val="24"/>
        </w:rPr>
        <w:t xml:space="preserve">staff </w:t>
      </w:r>
      <w:r w:rsidRPr="003D41A9">
        <w:rPr>
          <w:rFonts w:ascii="Times New Roman" w:hAnsi="Times New Roman" w:cs="Times New Roman"/>
          <w:sz w:val="24"/>
          <w:szCs w:val="24"/>
        </w:rPr>
        <w:t xml:space="preserve">underwriter, </w:t>
      </w:r>
      <w:r>
        <w:rPr>
          <w:rFonts w:ascii="Times New Roman" w:hAnsi="Times New Roman" w:cs="Times New Roman"/>
          <w:sz w:val="24"/>
          <w:szCs w:val="24"/>
        </w:rPr>
        <w:t xml:space="preserve">McNeel, </w:t>
      </w:r>
      <w:r w:rsidRPr="003D41A9">
        <w:rPr>
          <w:rFonts w:ascii="Times New Roman" w:hAnsi="Times New Roman" w:cs="Times New Roman"/>
          <w:sz w:val="24"/>
          <w:szCs w:val="24"/>
        </w:rPr>
        <w:t xml:space="preserve">himself a </w:t>
      </w:r>
      <w:r>
        <w:rPr>
          <w:rFonts w:ascii="Times New Roman" w:hAnsi="Times New Roman" w:cs="Times New Roman"/>
          <w:sz w:val="24"/>
          <w:szCs w:val="24"/>
        </w:rPr>
        <w:t xml:space="preserve">CPCU, </w:t>
      </w:r>
      <w:r w:rsidRPr="003D41A9">
        <w:rPr>
          <w:rFonts w:ascii="Times New Roman" w:hAnsi="Times New Roman" w:cs="Times New Roman"/>
          <w:sz w:val="24"/>
          <w:szCs w:val="24"/>
        </w:rPr>
        <w:t xml:space="preserve">would independently review and </w:t>
      </w:r>
      <w:r>
        <w:rPr>
          <w:rFonts w:ascii="Times New Roman" w:hAnsi="Times New Roman" w:cs="Times New Roman"/>
          <w:sz w:val="24"/>
          <w:szCs w:val="24"/>
        </w:rPr>
        <w:t xml:space="preserve">refine </w:t>
      </w:r>
      <w:r w:rsidRPr="003D41A9">
        <w:rPr>
          <w:rFonts w:ascii="Times New Roman" w:hAnsi="Times New Roman" w:cs="Times New Roman"/>
          <w:sz w:val="24"/>
          <w:szCs w:val="24"/>
        </w:rPr>
        <w:t>premium rates based on these premium indications</w:t>
      </w:r>
      <w:r>
        <w:rPr>
          <w:rFonts w:ascii="Times New Roman" w:hAnsi="Times New Roman" w:cs="Times New Roman"/>
          <w:sz w:val="24"/>
          <w:szCs w:val="24"/>
        </w:rPr>
        <w:t>, taking into account multiple individual risk factors</w:t>
      </w:r>
      <w:r w:rsidRPr="003D41A9">
        <w:rPr>
          <w:rFonts w:ascii="Times New Roman" w:hAnsi="Times New Roman" w:cs="Times New Roman"/>
          <w:sz w:val="24"/>
          <w:szCs w:val="24"/>
        </w:rPr>
        <w:t>.</w:t>
      </w:r>
      <w:r>
        <w:rPr>
          <w:rStyle w:val="EndnoteReference"/>
          <w:rFonts w:ascii="Times New Roman" w:hAnsi="Times New Roman" w:cs="Times New Roman"/>
          <w:sz w:val="24"/>
          <w:szCs w:val="24"/>
        </w:rPr>
        <w:endnoteReference w:id="102"/>
      </w:r>
      <w:r>
        <w:rPr>
          <w:rFonts w:ascii="Times New Roman" w:hAnsi="Times New Roman" w:cs="Times New Roman"/>
          <w:sz w:val="24"/>
          <w:szCs w:val="24"/>
        </w:rPr>
        <w:t xml:space="preserve">  </w:t>
      </w:r>
      <w:r w:rsidRPr="003D41A9">
        <w:rPr>
          <w:rFonts w:ascii="Times New Roman" w:hAnsi="Times New Roman" w:cs="Times New Roman"/>
          <w:sz w:val="24"/>
          <w:szCs w:val="24"/>
        </w:rPr>
        <w:t>As with the MGA’s pricing indications, every policy for every captive was individually-priced according to the risk exposures of the</w:t>
      </w:r>
      <w:r>
        <w:rPr>
          <w:rFonts w:ascii="Times New Roman" w:hAnsi="Times New Roman" w:cs="Times New Roman"/>
          <w:sz w:val="24"/>
          <w:szCs w:val="24"/>
        </w:rPr>
        <w:t xml:space="preserve"> particular</w:t>
      </w:r>
      <w:r w:rsidRPr="003D41A9">
        <w:rPr>
          <w:rFonts w:ascii="Times New Roman" w:hAnsi="Times New Roman" w:cs="Times New Roman"/>
          <w:sz w:val="24"/>
          <w:szCs w:val="24"/>
        </w:rPr>
        <w:t xml:space="preserve"> insureds by a </w:t>
      </w:r>
      <w:r>
        <w:rPr>
          <w:rFonts w:ascii="Times New Roman" w:hAnsi="Times New Roman" w:cs="Times New Roman"/>
          <w:sz w:val="24"/>
          <w:szCs w:val="24"/>
        </w:rPr>
        <w:t>CPCU</w:t>
      </w:r>
      <w:r w:rsidRPr="003D41A9">
        <w:rPr>
          <w:rFonts w:ascii="Times New Roman" w:hAnsi="Times New Roman" w:cs="Times New Roman"/>
          <w:sz w:val="24"/>
          <w:szCs w:val="24"/>
        </w:rPr>
        <w:t>, all along with the MGA providing individual pricing indications on each policy for each captive.</w:t>
      </w:r>
      <w:r>
        <w:rPr>
          <w:rStyle w:val="EndnoteReference"/>
          <w:rFonts w:ascii="Times New Roman" w:hAnsi="Times New Roman" w:cs="Times New Roman"/>
          <w:sz w:val="24"/>
          <w:szCs w:val="24"/>
        </w:rPr>
        <w:endnoteReference w:id="103"/>
      </w:r>
      <w:r>
        <w:rPr>
          <w:rFonts w:ascii="Times New Roman" w:hAnsi="Times New Roman" w:cs="Times New Roman"/>
          <w:sz w:val="24"/>
          <w:szCs w:val="24"/>
        </w:rPr>
        <w:t xml:space="preserve">  </w:t>
      </w:r>
    </w:p>
    <w:p w14:paraId="506E1E30" w14:textId="77777777" w:rsidR="000A2139" w:rsidRDefault="000A2139" w:rsidP="001E1078">
      <w:pPr>
        <w:spacing w:after="0" w:line="240" w:lineRule="auto"/>
        <w:rPr>
          <w:rFonts w:ascii="Times New Roman" w:hAnsi="Times New Roman" w:cs="Times New Roman"/>
          <w:sz w:val="24"/>
          <w:szCs w:val="24"/>
        </w:rPr>
      </w:pPr>
    </w:p>
    <w:p w14:paraId="2B88EDAE" w14:textId="6CCCD24E" w:rsidR="000A2139" w:rsidRDefault="000A2139" w:rsidP="001E107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Nonetheless, the Court raised issues </w:t>
      </w:r>
      <w:r w:rsidRPr="00BB3C11">
        <w:rPr>
          <w:rFonts w:ascii="Times New Roman" w:hAnsi="Times New Roman" w:cs="Times New Roman"/>
          <w:i/>
          <w:sz w:val="24"/>
          <w:szCs w:val="24"/>
        </w:rPr>
        <w:t>sua sponte</w:t>
      </w:r>
      <w:r>
        <w:rPr>
          <w:rFonts w:ascii="Times New Roman" w:hAnsi="Times New Roman" w:cs="Times New Roman"/>
          <w:sz w:val="24"/>
          <w:szCs w:val="24"/>
        </w:rPr>
        <w:t>, demanding proof of the policy pricing of hundreds of other pool participants, which calls into question the Court’s ruling. The Court’s suggestion that the pool was not reflective of arm’s-length pricing given the above was clear error and contradicted the Court’s own conclusions as to the proper pricing based on the overwhelming evidence before it.  The Court ignored the prima facie evidence that a pooling arrangement among hundreds of unaffiliated persons reflects an arm’s-length transaction and, as discussed further below, ignored the obvious business purpose of non-party PoolRe.</w:t>
      </w:r>
    </w:p>
    <w:p w14:paraId="3F1308AC" w14:textId="77777777" w:rsidR="000A2139" w:rsidRDefault="000A2139" w:rsidP="00597506">
      <w:pPr>
        <w:spacing w:after="0" w:line="240" w:lineRule="auto"/>
        <w:rPr>
          <w:rFonts w:ascii="Times New Roman" w:hAnsi="Times New Roman" w:cs="Times New Roman"/>
          <w:sz w:val="24"/>
          <w:szCs w:val="24"/>
        </w:rPr>
      </w:pPr>
    </w:p>
    <w:p w14:paraId="58408DDE" w14:textId="77777777" w:rsidR="000A2139" w:rsidRPr="00E07891" w:rsidRDefault="000A2139" w:rsidP="00E07891">
      <w:pPr>
        <w:pStyle w:val="Heading3"/>
        <w:spacing w:before="0" w:line="240" w:lineRule="auto"/>
        <w:rPr>
          <w:rFonts w:ascii="Times New Roman" w:hAnsi="Times New Roman" w:cs="Times New Roman"/>
          <w:b/>
          <w:color w:val="auto"/>
        </w:rPr>
      </w:pPr>
      <w:bookmarkStart w:id="34" w:name="_Toc534366178"/>
      <w:r w:rsidRPr="00E07891">
        <w:rPr>
          <w:rFonts w:ascii="Times New Roman" w:hAnsi="Times New Roman" w:cs="Times New Roman"/>
          <w:b/>
          <w:color w:val="auto"/>
        </w:rPr>
        <w:t>3.  Actuarially Determined Premiums</w:t>
      </w:r>
      <w:bookmarkEnd w:id="34"/>
    </w:p>
    <w:p w14:paraId="3F8F6041" w14:textId="77777777" w:rsidR="000A2139" w:rsidRDefault="000A2139" w:rsidP="003E4CE1">
      <w:pPr>
        <w:spacing w:after="0" w:line="240" w:lineRule="auto"/>
        <w:rPr>
          <w:rFonts w:ascii="Times New Roman" w:hAnsi="Times New Roman" w:cs="Times New Roman"/>
          <w:sz w:val="24"/>
          <w:szCs w:val="24"/>
        </w:rPr>
      </w:pPr>
    </w:p>
    <w:p w14:paraId="7A6C78F3" w14:textId="77777777" w:rsidR="000A2139" w:rsidRDefault="000A2139" w:rsidP="00EF2E10">
      <w:pPr>
        <w:spacing w:after="0" w:line="240" w:lineRule="auto"/>
        <w:rPr>
          <w:rFonts w:ascii="Times New Roman" w:hAnsi="Times New Roman" w:cs="Times New Roman"/>
          <w:sz w:val="24"/>
          <w:szCs w:val="24"/>
        </w:rPr>
      </w:pPr>
      <w:r>
        <w:rPr>
          <w:rFonts w:ascii="Times New Roman" w:hAnsi="Times New Roman" w:cs="Times New Roman"/>
          <w:sz w:val="24"/>
          <w:szCs w:val="24"/>
        </w:rPr>
        <w:t>In evaluating this factor, the Court stated as follows:</w:t>
      </w:r>
    </w:p>
    <w:p w14:paraId="2E68EC3A" w14:textId="77777777" w:rsidR="000A2139" w:rsidRDefault="000A2139" w:rsidP="00EF2E10">
      <w:pPr>
        <w:spacing w:after="0" w:line="240" w:lineRule="auto"/>
        <w:rPr>
          <w:rFonts w:ascii="Times New Roman" w:hAnsi="Times New Roman" w:cs="Times New Roman"/>
          <w:sz w:val="24"/>
          <w:szCs w:val="24"/>
        </w:rPr>
      </w:pPr>
    </w:p>
    <w:p w14:paraId="0A3B40EB" w14:textId="77777777" w:rsidR="000A2139" w:rsidRDefault="000A2139" w:rsidP="002A7B4F">
      <w:pPr>
        <w:spacing w:after="0" w:line="240" w:lineRule="auto"/>
        <w:ind w:left="720"/>
        <w:rPr>
          <w:rFonts w:ascii="Times New Roman" w:hAnsi="Times New Roman" w:cs="Times New Roman"/>
          <w:sz w:val="24"/>
          <w:szCs w:val="24"/>
        </w:rPr>
      </w:pPr>
      <w:r>
        <w:rPr>
          <w:rFonts w:ascii="Times New Roman" w:hAnsi="Times New Roman" w:cs="Times New Roman"/>
          <w:sz w:val="24"/>
          <w:szCs w:val="24"/>
        </w:rPr>
        <w:lastRenderedPageBreak/>
        <w:t>“</w:t>
      </w:r>
      <w:r w:rsidRPr="00816A95">
        <w:rPr>
          <w:rFonts w:ascii="Times New Roman" w:hAnsi="Times New Roman" w:cs="Times New Roman"/>
          <w:b/>
          <w:i/>
          <w:sz w:val="24"/>
          <w:szCs w:val="24"/>
        </w:rPr>
        <w:t xml:space="preserve">According to a </w:t>
      </w:r>
      <w:r w:rsidRPr="00666E9B">
        <w:rPr>
          <w:rFonts w:ascii="Times New Roman" w:hAnsi="Times New Roman" w:cs="Times New Roman"/>
          <w:b/>
          <w:i/>
          <w:sz w:val="24"/>
          <w:szCs w:val="24"/>
        </w:rPr>
        <w:t>letter from Glicksman Consulting</w:t>
      </w:r>
      <w:r w:rsidRPr="00816A95">
        <w:rPr>
          <w:rFonts w:ascii="Times New Roman" w:hAnsi="Times New Roman" w:cs="Times New Roman"/>
          <w:b/>
          <w:i/>
          <w:sz w:val="24"/>
          <w:szCs w:val="24"/>
        </w:rPr>
        <w:t xml:space="preserve">, LLC, to Capstone, PoolRe charges premiums that are a flat percentage of the gross direct written premiums. Reserve produced no evidence </w:t>
      </w:r>
      <w:r w:rsidRPr="00B862F1">
        <w:rPr>
          <w:rFonts w:ascii="Times New Roman" w:hAnsi="Times New Roman" w:cs="Times New Roman"/>
          <w:b/>
          <w:i/>
          <w:sz w:val="24"/>
          <w:szCs w:val="24"/>
        </w:rPr>
        <w:t xml:space="preserve">to support the calculation of the premiums. </w:t>
      </w:r>
      <w:r w:rsidRPr="00B862F1">
        <w:rPr>
          <w:b/>
          <w:i/>
        </w:rPr>
        <w:t xml:space="preserve"> </w:t>
      </w:r>
      <w:r w:rsidRPr="00B862F1">
        <w:rPr>
          <w:rFonts w:ascii="Times New Roman" w:hAnsi="Times New Roman" w:cs="Times New Roman"/>
          <w:b/>
          <w:i/>
          <w:sz w:val="24"/>
          <w:szCs w:val="24"/>
        </w:rPr>
        <w:t>There is no evidence regarding the other Capstone entities that</w:t>
      </w:r>
      <w:r w:rsidRPr="00B862F1">
        <w:rPr>
          <w:b/>
          <w:i/>
        </w:rPr>
        <w:t xml:space="preserve"> </w:t>
      </w:r>
      <w:r w:rsidRPr="00B862F1">
        <w:rPr>
          <w:rFonts w:ascii="Times New Roman" w:hAnsi="Times New Roman" w:cs="Times New Roman"/>
          <w:b/>
          <w:i/>
          <w:sz w:val="24"/>
          <w:szCs w:val="24"/>
        </w:rPr>
        <w:t>participated in the quota share arrangement which shows the industries and the risks involved and the specific amounts of exposure.</w:t>
      </w:r>
      <w:r w:rsidRPr="00B862F1">
        <w:rPr>
          <w:b/>
          <w:i/>
        </w:rPr>
        <w:t xml:space="preserve"> </w:t>
      </w:r>
      <w:r w:rsidRPr="00B862F1">
        <w:rPr>
          <w:rFonts w:ascii="Times New Roman" w:hAnsi="Times New Roman" w:cs="Times New Roman"/>
          <w:b/>
          <w:i/>
          <w:sz w:val="24"/>
          <w:szCs w:val="24"/>
        </w:rPr>
        <w:t>According to the evidence,</w:t>
      </w:r>
      <w:r w:rsidRPr="00816A95">
        <w:rPr>
          <w:rFonts w:ascii="Times New Roman" w:hAnsi="Times New Roman" w:cs="Times New Roman"/>
          <w:b/>
          <w:i/>
          <w:sz w:val="24"/>
          <w:szCs w:val="24"/>
        </w:rPr>
        <w:t xml:space="preserve"> all participants in the quota share arrangement agreed to direct their affiliated insureds to pay the same percentage of direct written premiums to PoolRe. As in </w:t>
      </w:r>
      <w:r w:rsidRPr="00816A95">
        <w:rPr>
          <w:rFonts w:ascii="Times New Roman" w:hAnsi="Times New Roman" w:cs="Times New Roman"/>
          <w:b/>
          <w:i/>
          <w:sz w:val="24"/>
          <w:szCs w:val="24"/>
          <w:u w:val="single"/>
        </w:rPr>
        <w:t>Avrahami v. Commissioner</w:t>
      </w:r>
      <w:r w:rsidRPr="00816A95">
        <w:rPr>
          <w:rFonts w:ascii="Times New Roman" w:hAnsi="Times New Roman" w:cs="Times New Roman"/>
          <w:b/>
          <w:i/>
          <w:sz w:val="24"/>
          <w:szCs w:val="24"/>
        </w:rPr>
        <w:t xml:space="preserve">, 149 T.C. at_ (slip op. at 69), we are concerned with a </w:t>
      </w:r>
      <w:bookmarkStart w:id="35" w:name="_Hlk522889178"/>
      <w:r w:rsidRPr="00816A95">
        <w:rPr>
          <w:rFonts w:ascii="Times New Roman" w:hAnsi="Times New Roman" w:cs="Times New Roman"/>
          <w:b/>
          <w:i/>
          <w:sz w:val="24"/>
          <w:szCs w:val="24"/>
        </w:rPr>
        <w:t>one-size-fits-all rate for all the participants in the quota share arrangement</w:t>
      </w:r>
      <w:bookmarkEnd w:id="35"/>
      <w:r w:rsidRPr="00CE4BB7">
        <w:rPr>
          <w:rFonts w:ascii="Times New Roman" w:hAnsi="Times New Roman" w:cs="Times New Roman"/>
          <w:sz w:val="24"/>
          <w:szCs w:val="24"/>
        </w:rPr>
        <w:t>.</w:t>
      </w:r>
      <w:r>
        <w:rPr>
          <w:rFonts w:ascii="Times New Roman" w:hAnsi="Times New Roman" w:cs="Times New Roman"/>
          <w:sz w:val="24"/>
          <w:szCs w:val="24"/>
        </w:rPr>
        <w:t>”</w:t>
      </w:r>
      <w:r>
        <w:rPr>
          <w:rStyle w:val="EndnoteReference"/>
          <w:rFonts w:ascii="Times New Roman" w:hAnsi="Times New Roman" w:cs="Times New Roman"/>
          <w:sz w:val="24"/>
          <w:szCs w:val="24"/>
        </w:rPr>
        <w:endnoteReference w:id="104"/>
      </w:r>
    </w:p>
    <w:p w14:paraId="1E3634AA" w14:textId="77777777" w:rsidR="000A2139" w:rsidRDefault="000A2139" w:rsidP="00D971FC">
      <w:pPr>
        <w:spacing w:after="0" w:line="240" w:lineRule="auto"/>
        <w:rPr>
          <w:rFonts w:ascii="Times New Roman" w:hAnsi="Times New Roman" w:cs="Times New Roman"/>
          <w:sz w:val="24"/>
          <w:szCs w:val="24"/>
        </w:rPr>
      </w:pPr>
    </w:p>
    <w:p w14:paraId="208F2790" w14:textId="53D6254C" w:rsidR="000A2139" w:rsidRDefault="000A2139" w:rsidP="00D971F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As discussed above, </w:t>
      </w:r>
      <w:r w:rsidRPr="00CE2E12">
        <w:rPr>
          <w:rFonts w:ascii="Times New Roman" w:hAnsi="Times New Roman" w:cs="Times New Roman"/>
          <w:sz w:val="24"/>
          <w:szCs w:val="24"/>
        </w:rPr>
        <w:t xml:space="preserve">McNeel’s testimony addressed </w:t>
      </w:r>
      <w:r>
        <w:rPr>
          <w:rFonts w:ascii="Times New Roman" w:hAnsi="Times New Roman" w:cs="Times New Roman"/>
          <w:sz w:val="24"/>
          <w:szCs w:val="24"/>
        </w:rPr>
        <w:t xml:space="preserve">that </w:t>
      </w:r>
      <w:r w:rsidRPr="00CE2E12">
        <w:rPr>
          <w:rFonts w:ascii="Times New Roman" w:hAnsi="Times New Roman" w:cs="Times New Roman"/>
          <w:sz w:val="24"/>
          <w:szCs w:val="24"/>
        </w:rPr>
        <w:t>the procedures followed for the Peak insureds mirrored that of all</w:t>
      </w:r>
      <w:r>
        <w:rPr>
          <w:rFonts w:ascii="Times New Roman" w:hAnsi="Times New Roman" w:cs="Times New Roman"/>
          <w:sz w:val="24"/>
          <w:szCs w:val="24"/>
        </w:rPr>
        <w:t xml:space="preserve"> </w:t>
      </w:r>
      <w:r w:rsidRPr="00CE2E12">
        <w:rPr>
          <w:rFonts w:ascii="Times New Roman" w:hAnsi="Times New Roman" w:cs="Times New Roman"/>
          <w:sz w:val="24"/>
          <w:szCs w:val="24"/>
        </w:rPr>
        <w:t>participants</w:t>
      </w:r>
      <w:r>
        <w:rPr>
          <w:rFonts w:ascii="Times New Roman" w:hAnsi="Times New Roman" w:cs="Times New Roman"/>
          <w:sz w:val="24"/>
          <w:szCs w:val="24"/>
        </w:rPr>
        <w:t xml:space="preserve"> </w:t>
      </w:r>
      <w:r w:rsidRPr="00395F35">
        <w:rPr>
          <w:rFonts w:ascii="Times New Roman" w:hAnsi="Times New Roman" w:cs="Times New Roman"/>
          <w:sz w:val="24"/>
          <w:szCs w:val="24"/>
        </w:rPr>
        <w:t>in the PoolRe pooling arrangement.  Both Dr. Neil Doherty</w:t>
      </w:r>
      <w:r w:rsidRPr="00395F35">
        <w:rPr>
          <w:rStyle w:val="EndnoteReference"/>
          <w:rFonts w:ascii="Times New Roman" w:hAnsi="Times New Roman" w:cs="Times New Roman"/>
          <w:sz w:val="24"/>
          <w:szCs w:val="24"/>
        </w:rPr>
        <w:endnoteReference w:id="105"/>
      </w:r>
      <w:r w:rsidRPr="00395F35">
        <w:rPr>
          <w:rFonts w:ascii="Times New Roman" w:hAnsi="Times New Roman" w:cs="Times New Roman"/>
          <w:sz w:val="24"/>
          <w:szCs w:val="24"/>
        </w:rPr>
        <w:t xml:space="preserve"> and Mr. Robert Snyder</w:t>
      </w:r>
      <w:r w:rsidRPr="00395F35">
        <w:rPr>
          <w:rStyle w:val="EndnoteReference"/>
          <w:rFonts w:ascii="Times New Roman" w:hAnsi="Times New Roman" w:cs="Times New Roman"/>
          <w:sz w:val="24"/>
          <w:szCs w:val="24"/>
        </w:rPr>
        <w:endnoteReference w:id="106"/>
      </w:r>
      <w:r w:rsidRPr="00395F35">
        <w:rPr>
          <w:rFonts w:ascii="Times New Roman" w:hAnsi="Times New Roman" w:cs="Times New Roman"/>
          <w:sz w:val="24"/>
          <w:szCs w:val="24"/>
        </w:rPr>
        <w:t xml:space="preserve"> explained the pool arrangement at length, testifying that PoolRe operated an industry</w:t>
      </w:r>
      <w:r w:rsidR="00E03B06">
        <w:rPr>
          <w:rFonts w:ascii="Times New Roman" w:hAnsi="Times New Roman" w:cs="Times New Roman"/>
          <w:sz w:val="24"/>
          <w:szCs w:val="24"/>
        </w:rPr>
        <w:t>-</w:t>
      </w:r>
      <w:r w:rsidRPr="00395F35">
        <w:rPr>
          <w:rFonts w:ascii="Times New Roman" w:hAnsi="Times New Roman" w:cs="Times New Roman"/>
          <w:sz w:val="24"/>
          <w:szCs w:val="24"/>
        </w:rPr>
        <w:t>standard pooling arrangement.</w:t>
      </w:r>
      <w:r>
        <w:rPr>
          <w:rFonts w:ascii="Times New Roman" w:hAnsi="Times New Roman" w:cs="Times New Roman"/>
          <w:sz w:val="24"/>
          <w:szCs w:val="24"/>
        </w:rPr>
        <w:t xml:space="preserve">  </w:t>
      </w:r>
      <w:r w:rsidRPr="00CE2E12">
        <w:rPr>
          <w:rFonts w:ascii="Times New Roman" w:hAnsi="Times New Roman" w:cs="Times New Roman"/>
          <w:sz w:val="24"/>
          <w:szCs w:val="24"/>
        </w:rPr>
        <w:t>The government did not controvert any such testimony or the conclusions of these experts</w:t>
      </w:r>
      <w:r>
        <w:rPr>
          <w:rFonts w:ascii="Times New Roman" w:hAnsi="Times New Roman" w:cs="Times New Roman"/>
          <w:sz w:val="24"/>
          <w:szCs w:val="24"/>
        </w:rPr>
        <w:t>.</w:t>
      </w:r>
      <w:r w:rsidRPr="00CE2E12">
        <w:rPr>
          <w:rFonts w:ascii="Times New Roman" w:hAnsi="Times New Roman" w:cs="Times New Roman"/>
          <w:sz w:val="24"/>
          <w:szCs w:val="24"/>
        </w:rPr>
        <w:t xml:space="preserve">  Yet</w:t>
      </w:r>
      <w:r>
        <w:rPr>
          <w:rFonts w:ascii="Times New Roman" w:hAnsi="Times New Roman" w:cs="Times New Roman"/>
          <w:sz w:val="24"/>
          <w:szCs w:val="24"/>
        </w:rPr>
        <w:t>,</w:t>
      </w:r>
      <w:r w:rsidRPr="00CE2E12">
        <w:rPr>
          <w:rFonts w:ascii="Times New Roman" w:hAnsi="Times New Roman" w:cs="Times New Roman"/>
          <w:sz w:val="24"/>
          <w:szCs w:val="24"/>
        </w:rPr>
        <w:t xml:space="preserve"> the Court went out of its way to discuss components to these experts’ testimony that the Court (but n</w:t>
      </w:r>
      <w:r>
        <w:rPr>
          <w:rFonts w:ascii="Times New Roman" w:hAnsi="Times New Roman" w:cs="Times New Roman"/>
          <w:sz w:val="24"/>
          <w:szCs w:val="24"/>
        </w:rPr>
        <w:t>either</w:t>
      </w:r>
      <w:r w:rsidRPr="00CE2E12">
        <w:rPr>
          <w:rFonts w:ascii="Times New Roman" w:hAnsi="Times New Roman" w:cs="Times New Roman"/>
          <w:sz w:val="24"/>
          <w:szCs w:val="24"/>
        </w:rPr>
        <w:t xml:space="preserve"> the government nor Reserve) believed were absent.</w:t>
      </w:r>
    </w:p>
    <w:p w14:paraId="2EED95EE" w14:textId="77777777" w:rsidR="000A2139" w:rsidRDefault="000A2139" w:rsidP="00CB1441">
      <w:pPr>
        <w:spacing w:after="0" w:line="240" w:lineRule="auto"/>
        <w:rPr>
          <w:rFonts w:ascii="Times New Roman" w:hAnsi="Times New Roman" w:cs="Times New Roman"/>
          <w:sz w:val="24"/>
          <w:szCs w:val="24"/>
        </w:rPr>
      </w:pPr>
    </w:p>
    <w:p w14:paraId="6B9DA466" w14:textId="7E00664F" w:rsidR="000A2139" w:rsidRDefault="000A2139" w:rsidP="00CB144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Court imagines some industry test is appropriate for a pool which is nowhere the case. </w:t>
      </w:r>
      <w:r w:rsidR="00AF2B38">
        <w:rPr>
          <w:rFonts w:ascii="Times New Roman" w:hAnsi="Times New Roman" w:cs="Times New Roman"/>
          <w:sz w:val="24"/>
          <w:szCs w:val="24"/>
        </w:rPr>
        <w:t xml:space="preserve"> </w:t>
      </w:r>
      <w:r>
        <w:rPr>
          <w:rFonts w:ascii="Times New Roman" w:hAnsi="Times New Roman" w:cs="Times New Roman"/>
          <w:sz w:val="24"/>
          <w:szCs w:val="24"/>
        </w:rPr>
        <w:t xml:space="preserve">The testimony before the Court was that the premiums of all policies </w:t>
      </w:r>
      <w:r w:rsidRPr="00C23151">
        <w:rPr>
          <w:rFonts w:ascii="Times New Roman" w:hAnsi="Times New Roman" w:cs="Times New Roman"/>
          <w:sz w:val="24"/>
          <w:szCs w:val="24"/>
        </w:rPr>
        <w:t xml:space="preserve">were already risk-adjusted and </w:t>
      </w:r>
      <w:r>
        <w:rPr>
          <w:rFonts w:ascii="Times New Roman" w:hAnsi="Times New Roman" w:cs="Times New Roman"/>
          <w:sz w:val="24"/>
          <w:szCs w:val="24"/>
        </w:rPr>
        <w:t xml:space="preserve">already </w:t>
      </w:r>
      <w:r w:rsidRPr="00C23151">
        <w:rPr>
          <w:rFonts w:ascii="Times New Roman" w:hAnsi="Times New Roman" w:cs="Times New Roman"/>
          <w:sz w:val="24"/>
          <w:szCs w:val="24"/>
        </w:rPr>
        <w:t xml:space="preserve">reflected an arm’s-length price before any pooling of risks and premiums took place </w:t>
      </w:r>
      <w:r>
        <w:rPr>
          <w:rFonts w:ascii="Times New Roman" w:hAnsi="Times New Roman" w:cs="Times New Roman"/>
          <w:sz w:val="24"/>
          <w:szCs w:val="24"/>
        </w:rPr>
        <w:t>via</w:t>
      </w:r>
      <w:r w:rsidRPr="00C23151">
        <w:rPr>
          <w:rFonts w:ascii="Times New Roman" w:hAnsi="Times New Roman" w:cs="Times New Roman"/>
          <w:sz w:val="24"/>
          <w:szCs w:val="24"/>
        </w:rPr>
        <w:t xml:space="preserve"> the PoolRe quota share </w:t>
      </w:r>
      <w:r w:rsidRPr="004935A1">
        <w:rPr>
          <w:rFonts w:ascii="Times New Roman" w:hAnsi="Times New Roman" w:cs="Times New Roman"/>
          <w:sz w:val="24"/>
          <w:szCs w:val="24"/>
        </w:rPr>
        <w:t>arrangement.</w:t>
      </w:r>
      <w:r>
        <w:rPr>
          <w:rFonts w:ascii="Times New Roman" w:hAnsi="Times New Roman" w:cs="Times New Roman"/>
          <w:sz w:val="24"/>
          <w:szCs w:val="24"/>
        </w:rPr>
        <w:t xml:space="preserve">  Because this was the case, the main function of Glicksman as actuary for PoolRe (for the years in issue) and Myron Steves Insurance Solutions as consultant, was to advise PoolRe with </w:t>
      </w:r>
      <w:r w:rsidRPr="00D1112C">
        <w:rPr>
          <w:rFonts w:ascii="Times New Roman" w:hAnsi="Times New Roman" w:cs="Times New Roman"/>
          <w:sz w:val="24"/>
          <w:szCs w:val="24"/>
        </w:rPr>
        <w:t xml:space="preserve">respect to </w:t>
      </w:r>
      <w:r>
        <w:rPr>
          <w:rFonts w:ascii="Times New Roman" w:hAnsi="Times New Roman" w:cs="Times New Roman"/>
          <w:sz w:val="24"/>
          <w:szCs w:val="24"/>
        </w:rPr>
        <w:t xml:space="preserve">pricing given an attachment </w:t>
      </w:r>
      <w:r w:rsidRPr="008C3166">
        <w:rPr>
          <w:rFonts w:ascii="Times New Roman" w:hAnsi="Times New Roman" w:cs="Times New Roman"/>
          <w:sz w:val="24"/>
          <w:szCs w:val="24"/>
        </w:rPr>
        <w:t>point for a given level of risk participation.</w:t>
      </w:r>
      <w:r>
        <w:rPr>
          <w:rStyle w:val="EndnoteReference"/>
          <w:rFonts w:ascii="Times New Roman" w:hAnsi="Times New Roman" w:cs="Times New Roman"/>
          <w:sz w:val="24"/>
          <w:szCs w:val="24"/>
        </w:rPr>
        <w:endnoteReference w:id="107"/>
      </w:r>
    </w:p>
    <w:p w14:paraId="19B8CE33" w14:textId="77777777" w:rsidR="000A2139" w:rsidRDefault="000A2139" w:rsidP="00D971FC">
      <w:pPr>
        <w:spacing w:after="0" w:line="240" w:lineRule="auto"/>
        <w:rPr>
          <w:rFonts w:ascii="Times New Roman" w:hAnsi="Times New Roman" w:cs="Times New Roman"/>
          <w:sz w:val="24"/>
          <w:szCs w:val="24"/>
        </w:rPr>
      </w:pPr>
    </w:p>
    <w:p w14:paraId="61CB38CB" w14:textId="3BBC594B" w:rsidR="000A2139" w:rsidRDefault="000A2139" w:rsidP="00D971F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As described above, the evidence before the Court was that premiums charged for </w:t>
      </w:r>
      <w:r w:rsidRPr="00C23151">
        <w:rPr>
          <w:rFonts w:ascii="Times New Roman" w:hAnsi="Times New Roman" w:cs="Times New Roman"/>
          <w:sz w:val="24"/>
          <w:szCs w:val="24"/>
        </w:rPr>
        <w:t xml:space="preserve">each captive’s direct policies </w:t>
      </w:r>
      <w:r>
        <w:rPr>
          <w:rFonts w:ascii="Times New Roman" w:hAnsi="Times New Roman" w:cs="Times New Roman"/>
          <w:sz w:val="24"/>
          <w:szCs w:val="24"/>
        </w:rPr>
        <w:t xml:space="preserve">– all 650+ of them – </w:t>
      </w:r>
      <w:r w:rsidRPr="00C23151">
        <w:rPr>
          <w:rFonts w:ascii="Times New Roman" w:hAnsi="Times New Roman" w:cs="Times New Roman"/>
          <w:sz w:val="24"/>
          <w:szCs w:val="24"/>
        </w:rPr>
        <w:t>were already risk-adjusted before any pooling of risks and premiums took place</w:t>
      </w:r>
      <w:r>
        <w:rPr>
          <w:rFonts w:ascii="Times New Roman" w:hAnsi="Times New Roman" w:cs="Times New Roman"/>
          <w:sz w:val="24"/>
          <w:szCs w:val="24"/>
        </w:rPr>
        <w:t xml:space="preserve"> in that each policy was individually priced following the same factors as were followed for the Peak insureds.</w:t>
      </w:r>
      <w:r>
        <w:rPr>
          <w:rStyle w:val="EndnoteReference"/>
          <w:rFonts w:ascii="Times New Roman" w:hAnsi="Times New Roman" w:cs="Times New Roman"/>
          <w:sz w:val="24"/>
          <w:szCs w:val="24"/>
        </w:rPr>
        <w:endnoteReference w:id="108"/>
      </w:r>
      <w:r>
        <w:rPr>
          <w:rFonts w:ascii="Times New Roman" w:hAnsi="Times New Roman" w:cs="Times New Roman"/>
          <w:sz w:val="24"/>
          <w:szCs w:val="24"/>
        </w:rPr>
        <w:t xml:space="preserve">  No contrary evidence was presented by the government, but this evidence nonetheless was cast aside by the Court.  Thereafter, the function of the actuary for PoolRe, Steven A. Glicksman, was to </w:t>
      </w:r>
      <w:r w:rsidRPr="000738A6">
        <w:rPr>
          <w:rFonts w:ascii="Times New Roman" w:hAnsi="Times New Roman" w:cs="Times New Roman"/>
          <w:sz w:val="24"/>
          <w:szCs w:val="24"/>
          <w:u w:val="single"/>
        </w:rPr>
        <w:t>calculat</w:t>
      </w:r>
      <w:r>
        <w:rPr>
          <w:rFonts w:ascii="Times New Roman" w:hAnsi="Times New Roman" w:cs="Times New Roman"/>
          <w:sz w:val="24"/>
          <w:szCs w:val="24"/>
          <w:u w:val="single"/>
        </w:rPr>
        <w:t xml:space="preserve">e </w:t>
      </w:r>
      <w:r w:rsidRPr="000738A6">
        <w:rPr>
          <w:rFonts w:ascii="Times New Roman" w:hAnsi="Times New Roman" w:cs="Times New Roman"/>
          <w:sz w:val="24"/>
          <w:szCs w:val="24"/>
          <w:u w:val="single"/>
        </w:rPr>
        <w:t xml:space="preserve">the </w:t>
      </w:r>
      <w:r>
        <w:rPr>
          <w:rFonts w:ascii="Times New Roman" w:hAnsi="Times New Roman" w:cs="Times New Roman"/>
          <w:sz w:val="24"/>
          <w:szCs w:val="24"/>
          <w:u w:val="single"/>
        </w:rPr>
        <w:t xml:space="preserve">percentage of the Peak insureds’ (along with the other 200+ insureds’) premiums </w:t>
      </w:r>
      <w:r w:rsidRPr="000738A6">
        <w:rPr>
          <w:rFonts w:ascii="Times New Roman" w:hAnsi="Times New Roman" w:cs="Times New Roman"/>
          <w:sz w:val="24"/>
          <w:szCs w:val="24"/>
          <w:u w:val="single"/>
        </w:rPr>
        <w:t>t</w:t>
      </w:r>
      <w:r>
        <w:rPr>
          <w:rFonts w:ascii="Times New Roman" w:hAnsi="Times New Roman" w:cs="Times New Roman"/>
          <w:sz w:val="24"/>
          <w:szCs w:val="24"/>
          <w:u w:val="single"/>
        </w:rPr>
        <w:t>o</w:t>
      </w:r>
      <w:r w:rsidRPr="000738A6">
        <w:rPr>
          <w:rFonts w:ascii="Times New Roman" w:hAnsi="Times New Roman" w:cs="Times New Roman"/>
          <w:sz w:val="24"/>
          <w:szCs w:val="24"/>
          <w:u w:val="single"/>
        </w:rPr>
        <w:t xml:space="preserve"> be </w:t>
      </w:r>
      <w:r>
        <w:rPr>
          <w:rFonts w:ascii="Times New Roman" w:hAnsi="Times New Roman" w:cs="Times New Roman"/>
          <w:sz w:val="24"/>
          <w:szCs w:val="24"/>
          <w:u w:val="single"/>
        </w:rPr>
        <w:t xml:space="preserve">paid </w:t>
      </w:r>
      <w:r w:rsidRPr="000738A6">
        <w:rPr>
          <w:rFonts w:ascii="Times New Roman" w:hAnsi="Times New Roman" w:cs="Times New Roman"/>
          <w:sz w:val="24"/>
          <w:szCs w:val="24"/>
          <w:u w:val="single"/>
        </w:rPr>
        <w:t>to PoolRe</w:t>
      </w:r>
      <w:r>
        <w:rPr>
          <w:rFonts w:ascii="Times New Roman" w:hAnsi="Times New Roman" w:cs="Times New Roman"/>
          <w:sz w:val="24"/>
          <w:szCs w:val="24"/>
        </w:rPr>
        <w:t xml:space="preserve"> for the stop loss coverage provided by PoolRe relative to the premium paid to the affiliated captive for the remainder of the risk borne by it.  As is common in the insurance industry, risk is sliced and borne by parties having differing interests in differing tranches.</w:t>
      </w:r>
    </w:p>
    <w:p w14:paraId="4C4E9B69" w14:textId="77777777" w:rsidR="000A2139" w:rsidRDefault="000A2139" w:rsidP="00D971FC">
      <w:pPr>
        <w:spacing w:after="0" w:line="240" w:lineRule="auto"/>
        <w:rPr>
          <w:rFonts w:ascii="Times New Roman" w:hAnsi="Times New Roman" w:cs="Times New Roman"/>
          <w:sz w:val="24"/>
          <w:szCs w:val="24"/>
        </w:rPr>
      </w:pPr>
    </w:p>
    <w:p w14:paraId="7EACF8E9" w14:textId="77777777" w:rsidR="000A2139" w:rsidRDefault="000A2139" w:rsidP="00ED734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contrast, the terrorism policy’s premium in </w:t>
      </w:r>
      <w:r w:rsidRPr="00C218CE">
        <w:rPr>
          <w:rFonts w:ascii="Times New Roman" w:hAnsi="Times New Roman" w:cs="Times New Roman"/>
          <w:i/>
          <w:sz w:val="24"/>
          <w:szCs w:val="24"/>
        </w:rPr>
        <w:t>Avrahami</w:t>
      </w:r>
      <w:r>
        <w:rPr>
          <w:rFonts w:ascii="Times New Roman" w:hAnsi="Times New Roman" w:cs="Times New Roman"/>
          <w:sz w:val="24"/>
          <w:szCs w:val="24"/>
        </w:rPr>
        <w:t xml:space="preserve"> was not priced based on the risk factors of the individual insureds (sales volume, number of employees, nature of the business, geographic location, etc.).  In Peak, each of these factors was considered in pricing all of the policies.  While not an issue in </w:t>
      </w:r>
      <w:r w:rsidRPr="00EF3831">
        <w:rPr>
          <w:rFonts w:ascii="Times New Roman" w:hAnsi="Times New Roman" w:cs="Times New Roman"/>
          <w:i/>
          <w:sz w:val="24"/>
          <w:szCs w:val="24"/>
        </w:rPr>
        <w:t>Reserve</w:t>
      </w:r>
      <w:r>
        <w:rPr>
          <w:rFonts w:ascii="Times New Roman" w:hAnsi="Times New Roman" w:cs="Times New Roman"/>
          <w:sz w:val="24"/>
          <w:szCs w:val="24"/>
        </w:rPr>
        <w:t xml:space="preserve">, the evidence before the Court was that all policies were individually priced based on factors unique to each insured and well supported by multiple professionals.  In rejecting the trial testimony of fully accredited actuaries and others supporting the policies’ </w:t>
      </w:r>
      <w:r w:rsidRPr="00C31204">
        <w:rPr>
          <w:rFonts w:ascii="Times New Roman" w:hAnsi="Times New Roman" w:cs="Times New Roman"/>
          <w:sz w:val="24"/>
          <w:szCs w:val="24"/>
        </w:rPr>
        <w:t xml:space="preserve">pricing, the Court then made up its conclusions and contradicted its own findings </w:t>
      </w:r>
      <w:r w:rsidRPr="00C31204">
        <w:rPr>
          <w:rFonts w:ascii="Times New Roman" w:hAnsi="Times New Roman" w:cs="Times New Roman"/>
          <w:sz w:val="24"/>
          <w:szCs w:val="24"/>
        </w:rPr>
        <w:lastRenderedPageBreak/>
        <w:t xml:space="preserve">that Capstone calculated Reserve’s premiums “using objective criteria and what appear to be actuarial methods,” leading to a clearly erroneous conclusion.  </w:t>
      </w:r>
    </w:p>
    <w:p w14:paraId="4CD606D1" w14:textId="77777777" w:rsidR="000A2139" w:rsidRDefault="000A2139" w:rsidP="00ED7344">
      <w:pPr>
        <w:spacing w:after="0" w:line="240" w:lineRule="auto"/>
        <w:rPr>
          <w:rFonts w:ascii="Times New Roman" w:hAnsi="Times New Roman" w:cs="Times New Roman"/>
          <w:sz w:val="24"/>
          <w:szCs w:val="24"/>
        </w:rPr>
      </w:pPr>
    </w:p>
    <w:p w14:paraId="49D069A6" w14:textId="77777777" w:rsidR="000A2139" w:rsidRDefault="000A2139" w:rsidP="00ED7344">
      <w:pPr>
        <w:spacing w:after="0" w:line="240" w:lineRule="auto"/>
        <w:rPr>
          <w:rFonts w:ascii="Times New Roman" w:hAnsi="Times New Roman" w:cs="Times New Roman"/>
          <w:sz w:val="24"/>
          <w:szCs w:val="24"/>
        </w:rPr>
      </w:pPr>
      <w:r w:rsidRPr="00C31204">
        <w:rPr>
          <w:rFonts w:ascii="Times New Roman" w:hAnsi="Times New Roman" w:cs="Times New Roman"/>
          <w:sz w:val="24"/>
          <w:szCs w:val="24"/>
        </w:rPr>
        <w:t>Among the Court’s fundamental errors was its conflating (x) PoolRe’s</w:t>
      </w:r>
      <w:r w:rsidRPr="00DE771D">
        <w:rPr>
          <w:rFonts w:ascii="Times New Roman" w:hAnsi="Times New Roman" w:cs="Times New Roman"/>
          <w:sz w:val="24"/>
          <w:szCs w:val="24"/>
        </w:rPr>
        <w:t xml:space="preserve"> appropriate percentage pricing of the stop loss protection (with the stop loss pricing percentage applied against factors individual to the particular insured in question and its risks insured), with (y) Avrahami’s pricing of the terrorism policy as a percentage of total premiums which did not account for any individual factors related to the terrorism risks insured (e.g., location and size of facilities)  </w:t>
      </w:r>
    </w:p>
    <w:p w14:paraId="5B71EA75" w14:textId="77777777" w:rsidR="000A2139" w:rsidRDefault="000A2139" w:rsidP="00D971FC">
      <w:pPr>
        <w:spacing w:after="0" w:line="240" w:lineRule="auto"/>
        <w:rPr>
          <w:rFonts w:ascii="Times New Roman" w:hAnsi="Times New Roman" w:cs="Times New Roman"/>
          <w:sz w:val="24"/>
          <w:szCs w:val="24"/>
        </w:rPr>
      </w:pPr>
    </w:p>
    <w:p w14:paraId="3C3C6C96" w14:textId="5029B5B2" w:rsidR="000A2139" w:rsidRDefault="000A2139" w:rsidP="00D971FC">
      <w:pPr>
        <w:spacing w:after="0" w:line="240" w:lineRule="auto"/>
        <w:rPr>
          <w:rFonts w:ascii="Times New Roman" w:hAnsi="Times New Roman" w:cs="Times New Roman"/>
          <w:sz w:val="24"/>
          <w:szCs w:val="24"/>
        </w:rPr>
      </w:pPr>
      <w:r>
        <w:rPr>
          <w:rFonts w:ascii="Times New Roman" w:hAnsi="Times New Roman" w:cs="Times New Roman"/>
          <w:sz w:val="24"/>
          <w:szCs w:val="24"/>
        </w:rPr>
        <w:t>Glicksman, a FCAS- and MAAA-accredited actuary, set the stop loss endorsement pricing as a percentage of the Peak insureds’ total direct written premiums which the stop loss endorsement covered.  This stop loss premium was then paid to PoolRe, ultimately being ceded to the participating captives under the quota share arrangement.  These factors were illustrated in the report that was provided by actuary Glicksman to Capstone, which was accepted into evidence, with no contrary evidence being offered by the government at trial.</w:t>
      </w:r>
      <w:r>
        <w:rPr>
          <w:rStyle w:val="EndnoteReference"/>
          <w:rFonts w:ascii="Times New Roman" w:hAnsi="Times New Roman" w:cs="Times New Roman"/>
          <w:sz w:val="24"/>
          <w:szCs w:val="24"/>
        </w:rPr>
        <w:endnoteReference w:id="109"/>
      </w:r>
    </w:p>
    <w:p w14:paraId="751E8769" w14:textId="77777777" w:rsidR="000A2139" w:rsidRDefault="000A2139" w:rsidP="00D971FC">
      <w:pPr>
        <w:spacing w:after="0" w:line="240" w:lineRule="auto"/>
        <w:rPr>
          <w:rFonts w:ascii="Times New Roman" w:hAnsi="Times New Roman" w:cs="Times New Roman"/>
          <w:sz w:val="24"/>
          <w:szCs w:val="24"/>
        </w:rPr>
      </w:pPr>
    </w:p>
    <w:p w14:paraId="2F3DCDF1" w14:textId="77777777" w:rsidR="000A2139" w:rsidRDefault="000A2139" w:rsidP="00D971FC">
      <w:pPr>
        <w:spacing w:after="0" w:line="240" w:lineRule="auto"/>
        <w:rPr>
          <w:rFonts w:ascii="Times New Roman" w:hAnsi="Times New Roman" w:cs="Times New Roman"/>
          <w:sz w:val="24"/>
          <w:szCs w:val="24"/>
        </w:rPr>
      </w:pPr>
      <w:r>
        <w:rPr>
          <w:rFonts w:ascii="Times New Roman" w:hAnsi="Times New Roman" w:cs="Times New Roman"/>
          <w:sz w:val="24"/>
          <w:szCs w:val="24"/>
        </w:rPr>
        <w:t>Among the actuarial factors expressly considered by Glicksman in calculating</w:t>
      </w:r>
      <w:r w:rsidRPr="00884558">
        <w:t xml:space="preserve"> </w:t>
      </w:r>
      <w:r w:rsidRPr="00884558">
        <w:rPr>
          <w:rFonts w:ascii="Times New Roman" w:hAnsi="Times New Roman" w:cs="Times New Roman"/>
          <w:sz w:val="24"/>
          <w:szCs w:val="24"/>
        </w:rPr>
        <w:t xml:space="preserve">the percentage of the combined premiums that were </w:t>
      </w:r>
      <w:r>
        <w:rPr>
          <w:rFonts w:ascii="Times New Roman" w:hAnsi="Times New Roman" w:cs="Times New Roman"/>
          <w:sz w:val="24"/>
          <w:szCs w:val="24"/>
        </w:rPr>
        <w:t>allocated and paid</w:t>
      </w:r>
      <w:r w:rsidRPr="00884558">
        <w:rPr>
          <w:rFonts w:ascii="Times New Roman" w:hAnsi="Times New Roman" w:cs="Times New Roman"/>
          <w:sz w:val="24"/>
          <w:szCs w:val="24"/>
        </w:rPr>
        <w:t xml:space="preserve"> to PoolRe</w:t>
      </w:r>
      <w:r>
        <w:rPr>
          <w:rFonts w:ascii="Times New Roman" w:hAnsi="Times New Roman" w:cs="Times New Roman"/>
          <w:sz w:val="24"/>
          <w:szCs w:val="24"/>
        </w:rPr>
        <w:t xml:space="preserve"> were: (a) the assumed expected loss ratio inherent in the rates charged by the underlying captives, (b) an assumed measure of variance, (c) an excess quota share loss ratio threshold, with losses above this ratio being covered, (d) an excess quota share percent, to indicate the percentage of losses above the excess loss ratio that are covered, (e) a load applied to risks in the excess layer, based on Mr. Glicksman’s actuarial judgment, and (f) an expense and profit factor applied to risks in the excess layer.</w:t>
      </w:r>
      <w:r>
        <w:rPr>
          <w:rStyle w:val="EndnoteReference"/>
          <w:rFonts w:ascii="Times New Roman" w:hAnsi="Times New Roman" w:cs="Times New Roman"/>
          <w:sz w:val="24"/>
          <w:szCs w:val="24"/>
        </w:rPr>
        <w:endnoteReference w:id="110"/>
      </w:r>
    </w:p>
    <w:p w14:paraId="711267B2" w14:textId="77777777" w:rsidR="000A2139" w:rsidRDefault="000A2139" w:rsidP="00D971FC">
      <w:pPr>
        <w:spacing w:after="0" w:line="240" w:lineRule="auto"/>
        <w:rPr>
          <w:rFonts w:ascii="Times New Roman" w:hAnsi="Times New Roman" w:cs="Times New Roman"/>
          <w:sz w:val="24"/>
          <w:szCs w:val="24"/>
        </w:rPr>
      </w:pPr>
    </w:p>
    <w:p w14:paraId="6A210D00" w14:textId="74703FFD" w:rsidR="000A2139" w:rsidRDefault="000A2139" w:rsidP="00B438AF">
      <w:pPr>
        <w:spacing w:after="0" w:line="240" w:lineRule="auto"/>
        <w:rPr>
          <w:rFonts w:ascii="Times New Roman" w:hAnsi="Times New Roman" w:cs="Times New Roman"/>
          <w:sz w:val="24"/>
          <w:szCs w:val="24"/>
        </w:rPr>
      </w:pPr>
      <w:r>
        <w:rPr>
          <w:rFonts w:ascii="Times New Roman" w:hAnsi="Times New Roman" w:cs="Times New Roman"/>
          <w:sz w:val="24"/>
          <w:szCs w:val="24"/>
        </w:rPr>
        <w:t>The Court was accurate in commenting that “</w:t>
      </w:r>
      <w:r w:rsidRPr="00F37632">
        <w:rPr>
          <w:rFonts w:ascii="Times New Roman" w:hAnsi="Times New Roman" w:cs="Times New Roman"/>
          <w:sz w:val="24"/>
          <w:szCs w:val="24"/>
        </w:rPr>
        <w:t>all participants in the quota share arrangement agreed to direct their affiliated insureds to pay the same percentage of direct written premiums to PoolRe</w:t>
      </w:r>
      <w:r>
        <w:rPr>
          <w:rFonts w:ascii="Times New Roman" w:hAnsi="Times New Roman" w:cs="Times New Roman"/>
          <w:sz w:val="24"/>
          <w:szCs w:val="24"/>
        </w:rPr>
        <w:t>.”  However, the Court then rejected the actuarial basis for this arrangement.  The Court’s statement, while accurate, certainly does suggest that there was a “</w:t>
      </w:r>
      <w:r w:rsidRPr="00450A95">
        <w:rPr>
          <w:rFonts w:ascii="Times New Roman" w:hAnsi="Times New Roman" w:cs="Times New Roman"/>
          <w:sz w:val="24"/>
          <w:szCs w:val="24"/>
        </w:rPr>
        <w:t>one-size-fits-all rate</w:t>
      </w:r>
      <w:r>
        <w:rPr>
          <w:rFonts w:ascii="Times New Roman" w:hAnsi="Times New Roman" w:cs="Times New Roman"/>
          <w:sz w:val="24"/>
          <w:szCs w:val="24"/>
        </w:rPr>
        <w:t>” being charged</w:t>
      </w:r>
      <w:r w:rsidRPr="00450A95">
        <w:rPr>
          <w:rFonts w:ascii="Times New Roman" w:hAnsi="Times New Roman" w:cs="Times New Roman"/>
          <w:sz w:val="24"/>
          <w:szCs w:val="24"/>
        </w:rPr>
        <w:t xml:space="preserve"> for all the participants in the </w:t>
      </w:r>
      <w:r>
        <w:rPr>
          <w:rFonts w:ascii="Times New Roman" w:hAnsi="Times New Roman" w:cs="Times New Roman"/>
          <w:sz w:val="24"/>
          <w:szCs w:val="24"/>
        </w:rPr>
        <w:t xml:space="preserve">PoolRe </w:t>
      </w:r>
      <w:r w:rsidRPr="00450A95">
        <w:rPr>
          <w:rFonts w:ascii="Times New Roman" w:hAnsi="Times New Roman" w:cs="Times New Roman"/>
          <w:sz w:val="24"/>
          <w:szCs w:val="24"/>
        </w:rPr>
        <w:t>quota share arrangement</w:t>
      </w:r>
      <w:r>
        <w:rPr>
          <w:rFonts w:ascii="Times New Roman" w:hAnsi="Times New Roman" w:cs="Times New Roman"/>
          <w:sz w:val="24"/>
          <w:szCs w:val="24"/>
        </w:rPr>
        <w:t xml:space="preserve"> because, as explained above, every policy had been individually priced with the </w:t>
      </w:r>
      <w:r w:rsidRPr="001408CE">
        <w:rPr>
          <w:rFonts w:ascii="Times New Roman" w:hAnsi="Times New Roman" w:cs="Times New Roman"/>
          <w:sz w:val="24"/>
          <w:szCs w:val="24"/>
        </w:rPr>
        <w:t>individual premiums for each of the 6</w:t>
      </w:r>
      <w:r>
        <w:rPr>
          <w:rFonts w:ascii="Times New Roman" w:hAnsi="Times New Roman" w:cs="Times New Roman"/>
          <w:sz w:val="24"/>
          <w:szCs w:val="24"/>
        </w:rPr>
        <w:t>5</w:t>
      </w:r>
      <w:r w:rsidRPr="001408CE">
        <w:rPr>
          <w:rFonts w:ascii="Times New Roman" w:hAnsi="Times New Roman" w:cs="Times New Roman"/>
          <w:sz w:val="24"/>
          <w:szCs w:val="24"/>
        </w:rPr>
        <w:t>0</w:t>
      </w:r>
      <w:r>
        <w:rPr>
          <w:rFonts w:ascii="Times New Roman" w:hAnsi="Times New Roman" w:cs="Times New Roman"/>
          <w:sz w:val="24"/>
          <w:szCs w:val="24"/>
        </w:rPr>
        <w:t>+</w:t>
      </w:r>
      <w:r w:rsidRPr="001408CE">
        <w:rPr>
          <w:rFonts w:ascii="Times New Roman" w:hAnsi="Times New Roman" w:cs="Times New Roman"/>
          <w:sz w:val="24"/>
          <w:szCs w:val="24"/>
        </w:rPr>
        <w:t xml:space="preserve"> policies </w:t>
      </w:r>
      <w:r>
        <w:rPr>
          <w:rFonts w:ascii="Times New Roman" w:hAnsi="Times New Roman" w:cs="Times New Roman"/>
          <w:sz w:val="24"/>
          <w:szCs w:val="24"/>
        </w:rPr>
        <w:t>being</w:t>
      </w:r>
      <w:r w:rsidRPr="001408CE">
        <w:rPr>
          <w:rFonts w:ascii="Times New Roman" w:hAnsi="Times New Roman" w:cs="Times New Roman"/>
          <w:sz w:val="24"/>
          <w:szCs w:val="24"/>
        </w:rPr>
        <w:t xml:space="preserve"> uniquely determined</w:t>
      </w:r>
      <w:r>
        <w:rPr>
          <w:rFonts w:ascii="Times New Roman" w:hAnsi="Times New Roman" w:cs="Times New Roman"/>
          <w:sz w:val="24"/>
          <w:szCs w:val="24"/>
        </w:rPr>
        <w:t>,</w:t>
      </w:r>
      <w:r w:rsidRPr="001408CE">
        <w:rPr>
          <w:rFonts w:ascii="Times New Roman" w:hAnsi="Times New Roman" w:cs="Times New Roman"/>
          <w:sz w:val="24"/>
          <w:szCs w:val="24"/>
        </w:rPr>
        <w:t xml:space="preserve"> as explained above</w:t>
      </w:r>
      <w:r>
        <w:rPr>
          <w:rFonts w:ascii="Times New Roman" w:hAnsi="Times New Roman" w:cs="Times New Roman"/>
          <w:sz w:val="24"/>
          <w:szCs w:val="24"/>
        </w:rPr>
        <w:t xml:space="preserve">.  No contrary evidence was offered by the government at </w:t>
      </w:r>
      <w:r w:rsidRPr="001408CE">
        <w:rPr>
          <w:rFonts w:ascii="Times New Roman" w:hAnsi="Times New Roman" w:cs="Times New Roman"/>
          <w:sz w:val="24"/>
          <w:szCs w:val="24"/>
        </w:rPr>
        <w:t xml:space="preserve">trial.  The fact that a percentage of these </w:t>
      </w:r>
      <w:r>
        <w:rPr>
          <w:rFonts w:ascii="Times New Roman" w:hAnsi="Times New Roman" w:cs="Times New Roman"/>
          <w:sz w:val="24"/>
          <w:szCs w:val="24"/>
        </w:rPr>
        <w:t xml:space="preserve">individually priced </w:t>
      </w:r>
      <w:r w:rsidRPr="001408CE">
        <w:rPr>
          <w:rFonts w:ascii="Times New Roman" w:hAnsi="Times New Roman" w:cs="Times New Roman"/>
          <w:sz w:val="24"/>
          <w:szCs w:val="24"/>
        </w:rPr>
        <w:t>direct written premiums</w:t>
      </w:r>
      <w:r>
        <w:rPr>
          <w:rFonts w:ascii="Times New Roman" w:hAnsi="Times New Roman" w:cs="Times New Roman"/>
          <w:sz w:val="24"/>
          <w:szCs w:val="24"/>
        </w:rPr>
        <w:t xml:space="preserve"> </w:t>
      </w:r>
      <w:r w:rsidRPr="001408CE">
        <w:rPr>
          <w:rFonts w:ascii="Times New Roman" w:hAnsi="Times New Roman" w:cs="Times New Roman"/>
          <w:sz w:val="24"/>
          <w:szCs w:val="24"/>
        </w:rPr>
        <w:t>was then used to price, as is typical in the insurance industry, the stop loss endorsement, cannot yield a “one size fits all” conclusion</w:t>
      </w:r>
      <w:r>
        <w:rPr>
          <w:rFonts w:ascii="Times New Roman" w:hAnsi="Times New Roman" w:cs="Times New Roman"/>
          <w:sz w:val="24"/>
          <w:szCs w:val="24"/>
        </w:rPr>
        <w:t>.</w:t>
      </w:r>
    </w:p>
    <w:p w14:paraId="10FCA43A" w14:textId="77777777" w:rsidR="000A2139" w:rsidRDefault="000A2139" w:rsidP="00B438AF">
      <w:pPr>
        <w:spacing w:after="0" w:line="240" w:lineRule="auto"/>
        <w:rPr>
          <w:rFonts w:ascii="Times New Roman" w:hAnsi="Times New Roman" w:cs="Times New Roman"/>
          <w:sz w:val="24"/>
          <w:szCs w:val="24"/>
        </w:rPr>
      </w:pPr>
    </w:p>
    <w:p w14:paraId="4734F5C6" w14:textId="444FA356" w:rsidR="000A2139" w:rsidRDefault="000A2139" w:rsidP="00B438A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Pr="00465635">
        <w:rPr>
          <w:rFonts w:ascii="Times New Roman" w:hAnsi="Times New Roman" w:cs="Times New Roman"/>
          <w:i/>
          <w:sz w:val="24"/>
          <w:szCs w:val="24"/>
        </w:rPr>
        <w:t>Reserve</w:t>
      </w:r>
      <w:r>
        <w:rPr>
          <w:rFonts w:ascii="Times New Roman" w:hAnsi="Times New Roman" w:cs="Times New Roman"/>
          <w:sz w:val="24"/>
          <w:szCs w:val="24"/>
        </w:rPr>
        <w:t xml:space="preserve"> Court appeared to pull this “one-size-fits-all” language from the </w:t>
      </w:r>
      <w:r w:rsidRPr="00465635">
        <w:rPr>
          <w:rFonts w:ascii="Times New Roman" w:hAnsi="Times New Roman" w:cs="Times New Roman"/>
          <w:i/>
          <w:sz w:val="24"/>
          <w:szCs w:val="24"/>
        </w:rPr>
        <w:t>Avrahami</w:t>
      </w:r>
      <w:r>
        <w:rPr>
          <w:rFonts w:ascii="Times New Roman" w:hAnsi="Times New Roman" w:cs="Times New Roman"/>
          <w:sz w:val="24"/>
          <w:szCs w:val="24"/>
        </w:rPr>
        <w:t xml:space="preserve"> opinion and then attempted to apply this term to the facts in </w:t>
      </w:r>
      <w:r w:rsidRPr="00465635">
        <w:rPr>
          <w:rFonts w:ascii="Times New Roman" w:hAnsi="Times New Roman" w:cs="Times New Roman"/>
          <w:i/>
          <w:sz w:val="24"/>
          <w:szCs w:val="24"/>
        </w:rPr>
        <w:t>Reserve</w:t>
      </w:r>
      <w:r>
        <w:rPr>
          <w:rFonts w:ascii="Times New Roman" w:hAnsi="Times New Roman" w:cs="Times New Roman"/>
          <w:sz w:val="24"/>
          <w:szCs w:val="24"/>
        </w:rPr>
        <w:t xml:space="preserve"> (i) despite this never being a litigated issue at trial and (ii) despite the evidence presented in </w:t>
      </w:r>
      <w:r w:rsidRPr="0062251A">
        <w:rPr>
          <w:rFonts w:ascii="Times New Roman" w:hAnsi="Times New Roman" w:cs="Times New Roman"/>
          <w:i/>
          <w:sz w:val="24"/>
          <w:szCs w:val="24"/>
        </w:rPr>
        <w:t>Reserve</w:t>
      </w:r>
      <w:r>
        <w:rPr>
          <w:rFonts w:ascii="Times New Roman" w:hAnsi="Times New Roman" w:cs="Times New Roman"/>
          <w:sz w:val="24"/>
          <w:szCs w:val="24"/>
        </w:rPr>
        <w:t>.  The Court failed to analyze the evidence before it and was clearly erroneous in its conclusion.</w:t>
      </w:r>
    </w:p>
    <w:p w14:paraId="55C58951" w14:textId="77777777" w:rsidR="000A2139" w:rsidRDefault="000A2139" w:rsidP="00B438AF">
      <w:pPr>
        <w:spacing w:after="0" w:line="240" w:lineRule="auto"/>
        <w:rPr>
          <w:rFonts w:ascii="Times New Roman" w:hAnsi="Times New Roman" w:cs="Times New Roman"/>
          <w:sz w:val="24"/>
          <w:szCs w:val="24"/>
        </w:rPr>
      </w:pPr>
    </w:p>
    <w:p w14:paraId="1631C0D8" w14:textId="773DFC29" w:rsidR="000A2139" w:rsidRDefault="000A2139" w:rsidP="00D971F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concern of a </w:t>
      </w:r>
      <w:r w:rsidRPr="00FE165F">
        <w:rPr>
          <w:rFonts w:ascii="Times New Roman" w:hAnsi="Times New Roman" w:cs="Times New Roman"/>
          <w:sz w:val="24"/>
          <w:szCs w:val="24"/>
        </w:rPr>
        <w:t>“one-size-fits-all rate” being charged for all the participants</w:t>
      </w:r>
      <w:r>
        <w:rPr>
          <w:rFonts w:ascii="Times New Roman" w:hAnsi="Times New Roman" w:cs="Times New Roman"/>
          <w:sz w:val="24"/>
          <w:szCs w:val="24"/>
        </w:rPr>
        <w:t xml:space="preserve"> in a pooling </w:t>
      </w:r>
      <w:r w:rsidRPr="00FE165F">
        <w:rPr>
          <w:rFonts w:ascii="Times New Roman" w:hAnsi="Times New Roman" w:cs="Times New Roman"/>
          <w:sz w:val="24"/>
          <w:szCs w:val="24"/>
        </w:rPr>
        <w:t>arrangement</w:t>
      </w:r>
      <w:r>
        <w:rPr>
          <w:rFonts w:ascii="Times New Roman" w:hAnsi="Times New Roman" w:cs="Times New Roman"/>
          <w:sz w:val="24"/>
          <w:szCs w:val="24"/>
        </w:rPr>
        <w:t xml:space="preserve"> </w:t>
      </w:r>
      <w:r w:rsidRPr="00753A21">
        <w:rPr>
          <w:rFonts w:ascii="Times New Roman" w:hAnsi="Times New Roman" w:cs="Times New Roman"/>
          <w:i/>
          <w:sz w:val="24"/>
          <w:szCs w:val="24"/>
          <w:u w:val="single"/>
        </w:rPr>
        <w:t>may have been</w:t>
      </w:r>
      <w:r>
        <w:rPr>
          <w:rFonts w:ascii="Times New Roman" w:hAnsi="Times New Roman" w:cs="Times New Roman"/>
          <w:sz w:val="24"/>
          <w:szCs w:val="24"/>
        </w:rPr>
        <w:t xml:space="preserve"> </w:t>
      </w:r>
      <w:r w:rsidRPr="003C3DD2">
        <w:rPr>
          <w:rFonts w:ascii="Times New Roman" w:hAnsi="Times New Roman" w:cs="Times New Roman"/>
          <w:i/>
          <w:sz w:val="24"/>
          <w:szCs w:val="24"/>
          <w:u w:val="single"/>
        </w:rPr>
        <w:t>a legitimate concern</w:t>
      </w:r>
      <w:r w:rsidRPr="00FE165F">
        <w:rPr>
          <w:rFonts w:ascii="Times New Roman" w:hAnsi="Times New Roman" w:cs="Times New Roman"/>
          <w:sz w:val="24"/>
          <w:szCs w:val="24"/>
        </w:rPr>
        <w:t xml:space="preserve"> of Judge Holmes in </w:t>
      </w:r>
      <w:r w:rsidRPr="00FE165F">
        <w:rPr>
          <w:rFonts w:ascii="Times New Roman" w:hAnsi="Times New Roman" w:cs="Times New Roman"/>
          <w:i/>
          <w:sz w:val="24"/>
          <w:szCs w:val="24"/>
        </w:rPr>
        <w:t>Avrahami</w:t>
      </w:r>
      <w:r w:rsidRPr="00FE165F">
        <w:rPr>
          <w:rFonts w:ascii="Times New Roman" w:hAnsi="Times New Roman" w:cs="Times New Roman"/>
          <w:sz w:val="24"/>
          <w:szCs w:val="24"/>
        </w:rPr>
        <w:t xml:space="preserve">.  In </w:t>
      </w:r>
      <w:r w:rsidRPr="00FE165F">
        <w:rPr>
          <w:rFonts w:ascii="Times New Roman" w:hAnsi="Times New Roman" w:cs="Times New Roman"/>
          <w:i/>
          <w:sz w:val="24"/>
          <w:szCs w:val="24"/>
        </w:rPr>
        <w:t>Avrahami</w:t>
      </w:r>
      <w:r>
        <w:rPr>
          <w:rFonts w:ascii="Times New Roman" w:hAnsi="Times New Roman" w:cs="Times New Roman"/>
          <w:sz w:val="24"/>
          <w:szCs w:val="24"/>
        </w:rPr>
        <w:t xml:space="preserve">, the pooling arrangement (Pan American), which pooled the terrorism coverage, priced its terrorism policies without regard to relevant factors such as the insureds’ geographic </w:t>
      </w:r>
      <w:r w:rsidRPr="00F91F81">
        <w:rPr>
          <w:rFonts w:ascii="Times New Roman" w:hAnsi="Times New Roman" w:cs="Times New Roman"/>
          <w:sz w:val="24"/>
          <w:szCs w:val="24"/>
        </w:rPr>
        <w:t>location</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and </w:t>
      </w:r>
      <w:r w:rsidRPr="00F91F81">
        <w:rPr>
          <w:rFonts w:ascii="Times New Roman" w:hAnsi="Times New Roman" w:cs="Times New Roman"/>
          <w:sz w:val="24"/>
          <w:szCs w:val="24"/>
        </w:rPr>
        <w:t xml:space="preserve">size </w:t>
      </w:r>
      <w:r>
        <w:rPr>
          <w:rFonts w:ascii="Times New Roman" w:hAnsi="Times New Roman" w:cs="Times New Roman"/>
          <w:sz w:val="24"/>
          <w:szCs w:val="24"/>
        </w:rPr>
        <w:t xml:space="preserve">or nature </w:t>
      </w:r>
      <w:r w:rsidRPr="00F91F81">
        <w:rPr>
          <w:rFonts w:ascii="Times New Roman" w:hAnsi="Times New Roman" w:cs="Times New Roman"/>
          <w:sz w:val="24"/>
          <w:szCs w:val="24"/>
        </w:rPr>
        <w:t>of operations</w:t>
      </w:r>
      <w:r>
        <w:rPr>
          <w:rFonts w:ascii="Times New Roman" w:hAnsi="Times New Roman" w:cs="Times New Roman"/>
          <w:sz w:val="24"/>
          <w:szCs w:val="24"/>
        </w:rPr>
        <w:t xml:space="preserve">.  </w:t>
      </w:r>
      <w:r w:rsidRPr="00F91F81">
        <w:rPr>
          <w:rFonts w:ascii="Times New Roman" w:hAnsi="Times New Roman" w:cs="Times New Roman"/>
          <w:sz w:val="24"/>
          <w:szCs w:val="24"/>
        </w:rPr>
        <w:t xml:space="preserve">The traditional role of an underwriter, </w:t>
      </w:r>
      <w:r>
        <w:rPr>
          <w:rFonts w:ascii="Times New Roman" w:hAnsi="Times New Roman" w:cs="Times New Roman"/>
          <w:sz w:val="24"/>
          <w:szCs w:val="24"/>
        </w:rPr>
        <w:t xml:space="preserve">being </w:t>
      </w:r>
      <w:r w:rsidR="00034ECD">
        <w:rPr>
          <w:rFonts w:ascii="Times New Roman" w:hAnsi="Times New Roman" w:cs="Times New Roman"/>
          <w:sz w:val="24"/>
          <w:szCs w:val="24"/>
        </w:rPr>
        <w:t>to examine</w:t>
      </w:r>
      <w:r w:rsidR="00034ECD" w:rsidRPr="00F91F81">
        <w:rPr>
          <w:rFonts w:ascii="Times New Roman" w:hAnsi="Times New Roman" w:cs="Times New Roman"/>
          <w:sz w:val="24"/>
          <w:szCs w:val="24"/>
        </w:rPr>
        <w:t xml:space="preserve"> </w:t>
      </w:r>
      <w:r w:rsidRPr="00F91F81">
        <w:rPr>
          <w:rFonts w:ascii="Times New Roman" w:hAnsi="Times New Roman" w:cs="Times New Roman"/>
          <w:sz w:val="24"/>
          <w:szCs w:val="24"/>
        </w:rPr>
        <w:t xml:space="preserve">the pricing provided by an actuary </w:t>
      </w:r>
      <w:r>
        <w:rPr>
          <w:rFonts w:ascii="Times New Roman" w:hAnsi="Times New Roman" w:cs="Times New Roman"/>
          <w:sz w:val="24"/>
          <w:szCs w:val="24"/>
        </w:rPr>
        <w:t xml:space="preserve">for a line of business </w:t>
      </w:r>
      <w:r w:rsidRPr="00F91F81">
        <w:rPr>
          <w:rFonts w:ascii="Times New Roman" w:hAnsi="Times New Roman" w:cs="Times New Roman"/>
          <w:sz w:val="24"/>
          <w:szCs w:val="24"/>
        </w:rPr>
        <w:t xml:space="preserve">and then </w:t>
      </w:r>
      <w:r w:rsidR="00034ECD">
        <w:rPr>
          <w:rFonts w:ascii="Times New Roman" w:hAnsi="Times New Roman" w:cs="Times New Roman"/>
          <w:sz w:val="24"/>
          <w:szCs w:val="24"/>
        </w:rPr>
        <w:t>to make</w:t>
      </w:r>
      <w:r w:rsidR="00034ECD" w:rsidRPr="00F91F81">
        <w:rPr>
          <w:rFonts w:ascii="Times New Roman" w:hAnsi="Times New Roman" w:cs="Times New Roman"/>
          <w:sz w:val="24"/>
          <w:szCs w:val="24"/>
        </w:rPr>
        <w:t xml:space="preserve"> </w:t>
      </w:r>
      <w:r w:rsidRPr="00F91F81">
        <w:rPr>
          <w:rFonts w:ascii="Times New Roman" w:hAnsi="Times New Roman" w:cs="Times New Roman"/>
          <w:sz w:val="24"/>
          <w:szCs w:val="24"/>
        </w:rPr>
        <w:t>necessary adjustments to the coverages</w:t>
      </w:r>
      <w:r>
        <w:rPr>
          <w:rFonts w:ascii="Times New Roman" w:hAnsi="Times New Roman" w:cs="Times New Roman"/>
          <w:sz w:val="24"/>
          <w:szCs w:val="24"/>
        </w:rPr>
        <w:t xml:space="preserve"> for a particular insured, </w:t>
      </w:r>
      <w:r w:rsidRPr="00F91F81">
        <w:rPr>
          <w:rFonts w:ascii="Times New Roman" w:hAnsi="Times New Roman" w:cs="Times New Roman"/>
          <w:sz w:val="24"/>
          <w:szCs w:val="24"/>
        </w:rPr>
        <w:t xml:space="preserve">was absent. </w:t>
      </w:r>
      <w:r>
        <w:rPr>
          <w:rFonts w:ascii="Times New Roman" w:hAnsi="Times New Roman" w:cs="Times New Roman"/>
          <w:sz w:val="24"/>
          <w:szCs w:val="24"/>
        </w:rPr>
        <w:t xml:space="preserve"> </w:t>
      </w:r>
      <w:r w:rsidRPr="00F91F81">
        <w:rPr>
          <w:rFonts w:ascii="Times New Roman" w:hAnsi="Times New Roman" w:cs="Times New Roman"/>
          <w:sz w:val="24"/>
          <w:szCs w:val="24"/>
        </w:rPr>
        <w:t xml:space="preserve">In other words, no </w:t>
      </w:r>
      <w:r>
        <w:rPr>
          <w:rFonts w:ascii="Times New Roman" w:hAnsi="Times New Roman" w:cs="Times New Roman"/>
          <w:sz w:val="24"/>
          <w:szCs w:val="24"/>
        </w:rPr>
        <w:t>“</w:t>
      </w:r>
      <w:r w:rsidRPr="00F91F81">
        <w:rPr>
          <w:rFonts w:ascii="Times New Roman" w:hAnsi="Times New Roman" w:cs="Times New Roman"/>
          <w:sz w:val="24"/>
          <w:szCs w:val="24"/>
        </w:rPr>
        <w:t>underwriter</w:t>
      </w:r>
      <w:r>
        <w:rPr>
          <w:rFonts w:ascii="Times New Roman" w:hAnsi="Times New Roman" w:cs="Times New Roman"/>
          <w:sz w:val="24"/>
          <w:szCs w:val="24"/>
        </w:rPr>
        <w:t>’</w:t>
      </w:r>
      <w:r w:rsidRPr="00F91F81">
        <w:rPr>
          <w:rFonts w:ascii="Times New Roman" w:hAnsi="Times New Roman" w:cs="Times New Roman"/>
          <w:sz w:val="24"/>
          <w:szCs w:val="24"/>
        </w:rPr>
        <w:t>s judgment</w:t>
      </w:r>
      <w:r>
        <w:rPr>
          <w:rFonts w:ascii="Times New Roman" w:hAnsi="Times New Roman" w:cs="Times New Roman"/>
          <w:sz w:val="24"/>
          <w:szCs w:val="24"/>
        </w:rPr>
        <w:t>”</w:t>
      </w:r>
      <w:r w:rsidRPr="00F91F81">
        <w:rPr>
          <w:rFonts w:ascii="Times New Roman" w:hAnsi="Times New Roman" w:cs="Times New Roman"/>
          <w:sz w:val="24"/>
          <w:szCs w:val="24"/>
        </w:rPr>
        <w:t xml:space="preserve"> was being applied to the raw numbers that were provided by the actuary to reflect the different risk factors that applied to each of the pool</w:t>
      </w:r>
      <w:r>
        <w:rPr>
          <w:rFonts w:ascii="Times New Roman" w:hAnsi="Times New Roman" w:cs="Times New Roman"/>
          <w:sz w:val="24"/>
          <w:szCs w:val="24"/>
        </w:rPr>
        <w:t>’</w:t>
      </w:r>
      <w:r w:rsidRPr="00F91F81">
        <w:rPr>
          <w:rFonts w:ascii="Times New Roman" w:hAnsi="Times New Roman" w:cs="Times New Roman"/>
          <w:sz w:val="24"/>
          <w:szCs w:val="24"/>
        </w:rPr>
        <w:t>s participating captives.</w:t>
      </w:r>
    </w:p>
    <w:p w14:paraId="0DBFDED6" w14:textId="77777777" w:rsidR="000A2139" w:rsidRDefault="000A2139" w:rsidP="00D971FC">
      <w:pPr>
        <w:spacing w:after="0" w:line="240" w:lineRule="auto"/>
        <w:rPr>
          <w:rFonts w:ascii="Times New Roman" w:hAnsi="Times New Roman" w:cs="Times New Roman"/>
          <w:sz w:val="24"/>
          <w:szCs w:val="24"/>
        </w:rPr>
      </w:pPr>
    </w:p>
    <w:p w14:paraId="14D46C58" w14:textId="0ED02E35" w:rsidR="000A2139" w:rsidRDefault="000A2139" w:rsidP="009D6A5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facts of </w:t>
      </w:r>
      <w:r w:rsidRPr="00A3538F">
        <w:rPr>
          <w:rFonts w:ascii="Times New Roman" w:hAnsi="Times New Roman" w:cs="Times New Roman"/>
          <w:i/>
          <w:sz w:val="24"/>
          <w:szCs w:val="24"/>
        </w:rPr>
        <w:t>Res</w:t>
      </w:r>
      <w:r>
        <w:rPr>
          <w:rFonts w:ascii="Times New Roman" w:hAnsi="Times New Roman" w:cs="Times New Roman"/>
          <w:i/>
          <w:sz w:val="24"/>
          <w:szCs w:val="24"/>
        </w:rPr>
        <w:t>e</w:t>
      </w:r>
      <w:r w:rsidRPr="00A3538F">
        <w:rPr>
          <w:rFonts w:ascii="Times New Roman" w:hAnsi="Times New Roman" w:cs="Times New Roman"/>
          <w:i/>
          <w:sz w:val="24"/>
          <w:szCs w:val="24"/>
        </w:rPr>
        <w:t>rve</w:t>
      </w:r>
      <w:r>
        <w:rPr>
          <w:rFonts w:ascii="Times New Roman" w:hAnsi="Times New Roman" w:cs="Times New Roman"/>
          <w:sz w:val="24"/>
          <w:szCs w:val="24"/>
        </w:rPr>
        <w:t xml:space="preserve"> were in stark contrast to </w:t>
      </w:r>
      <w:r w:rsidRPr="00EE2DE7">
        <w:rPr>
          <w:rFonts w:ascii="Times New Roman" w:hAnsi="Times New Roman" w:cs="Times New Roman"/>
          <w:i/>
          <w:sz w:val="24"/>
          <w:szCs w:val="24"/>
        </w:rPr>
        <w:t>Avrahami</w:t>
      </w:r>
      <w:r>
        <w:rPr>
          <w:rFonts w:ascii="Times New Roman" w:hAnsi="Times New Roman" w:cs="Times New Roman"/>
          <w:sz w:val="24"/>
          <w:szCs w:val="24"/>
        </w:rPr>
        <w:t xml:space="preserve">.  </w:t>
      </w:r>
      <w:r w:rsidRPr="00FC137C">
        <w:rPr>
          <w:rFonts w:ascii="Times New Roman" w:hAnsi="Times New Roman" w:cs="Times New Roman"/>
          <w:sz w:val="24"/>
          <w:szCs w:val="24"/>
        </w:rPr>
        <w:t>Each of the</w:t>
      </w:r>
      <w:r>
        <w:rPr>
          <w:rFonts w:ascii="Times New Roman" w:hAnsi="Times New Roman" w:cs="Times New Roman"/>
          <w:sz w:val="24"/>
          <w:szCs w:val="24"/>
        </w:rPr>
        <w:t xml:space="preserve"> captive participants</w:t>
      </w:r>
      <w:r w:rsidRPr="00FC137C">
        <w:rPr>
          <w:rFonts w:ascii="Times New Roman" w:hAnsi="Times New Roman" w:cs="Times New Roman"/>
          <w:sz w:val="24"/>
          <w:szCs w:val="24"/>
        </w:rPr>
        <w:t xml:space="preserve"> </w:t>
      </w:r>
      <w:r>
        <w:rPr>
          <w:rFonts w:ascii="Times New Roman" w:hAnsi="Times New Roman" w:cs="Times New Roman"/>
          <w:sz w:val="24"/>
          <w:szCs w:val="24"/>
        </w:rPr>
        <w:t xml:space="preserve">in the </w:t>
      </w:r>
      <w:r w:rsidRPr="00FC137C">
        <w:rPr>
          <w:rFonts w:ascii="Times New Roman" w:hAnsi="Times New Roman" w:cs="Times New Roman"/>
          <w:sz w:val="24"/>
          <w:szCs w:val="24"/>
        </w:rPr>
        <w:t xml:space="preserve">pooling program </w:t>
      </w:r>
      <w:r>
        <w:rPr>
          <w:rFonts w:ascii="Times New Roman" w:hAnsi="Times New Roman" w:cs="Times New Roman"/>
          <w:sz w:val="24"/>
          <w:szCs w:val="24"/>
        </w:rPr>
        <w:t xml:space="preserve">administered by PoolRe </w:t>
      </w:r>
      <w:r w:rsidRPr="00650C80">
        <w:rPr>
          <w:rFonts w:ascii="Times New Roman" w:hAnsi="Times New Roman" w:cs="Times New Roman"/>
          <w:i/>
          <w:sz w:val="24"/>
          <w:szCs w:val="24"/>
          <w:u w:val="single"/>
        </w:rPr>
        <w:t>had individually underwritten and priced policies</w:t>
      </w:r>
      <w:r w:rsidRPr="00FC137C">
        <w:rPr>
          <w:rFonts w:ascii="Times New Roman" w:hAnsi="Times New Roman" w:cs="Times New Roman"/>
          <w:sz w:val="24"/>
          <w:szCs w:val="24"/>
        </w:rPr>
        <w:t>, with each policy being focused on the business needs</w:t>
      </w:r>
      <w:r>
        <w:rPr>
          <w:rFonts w:ascii="Times New Roman" w:hAnsi="Times New Roman" w:cs="Times New Roman"/>
          <w:sz w:val="24"/>
          <w:szCs w:val="24"/>
        </w:rPr>
        <w:t xml:space="preserve"> of each insured. T</w:t>
      </w:r>
      <w:r w:rsidRPr="00774382">
        <w:rPr>
          <w:rFonts w:ascii="Times New Roman" w:hAnsi="Times New Roman" w:cs="Times New Roman"/>
          <w:sz w:val="24"/>
          <w:szCs w:val="24"/>
        </w:rPr>
        <w:t>he unchallenged testimony and evidence established that the policies issued by Reserve to its affiliated insureds were individually underwritten</w:t>
      </w:r>
      <w:r>
        <w:rPr>
          <w:rStyle w:val="EndnoteReference"/>
          <w:rFonts w:ascii="Times New Roman" w:hAnsi="Times New Roman" w:cs="Times New Roman"/>
          <w:sz w:val="24"/>
          <w:szCs w:val="24"/>
        </w:rPr>
        <w:endnoteReference w:id="111"/>
      </w:r>
      <w:r>
        <w:rPr>
          <w:rFonts w:ascii="Times New Roman" w:hAnsi="Times New Roman" w:cs="Times New Roman"/>
          <w:sz w:val="24"/>
          <w:szCs w:val="24"/>
        </w:rPr>
        <w:t xml:space="preserve"> and the result of an on-site assessment reflected in a feasibility study.</w:t>
      </w:r>
      <w:r>
        <w:rPr>
          <w:rStyle w:val="EndnoteReference"/>
          <w:rFonts w:ascii="Times New Roman" w:hAnsi="Times New Roman" w:cs="Times New Roman"/>
          <w:sz w:val="24"/>
          <w:szCs w:val="24"/>
        </w:rPr>
        <w:endnoteReference w:id="112"/>
      </w:r>
      <w:r>
        <w:rPr>
          <w:rFonts w:ascii="Times New Roman" w:hAnsi="Times New Roman" w:cs="Times New Roman"/>
          <w:sz w:val="24"/>
          <w:szCs w:val="24"/>
        </w:rPr>
        <w:t xml:space="preserve">  The evidence presented at trial established that PoolRe’s premiums </w:t>
      </w:r>
      <w:r w:rsidRPr="00182642">
        <w:rPr>
          <w:rFonts w:ascii="Times New Roman" w:hAnsi="Times New Roman" w:cs="Times New Roman"/>
          <w:i/>
          <w:sz w:val="24"/>
          <w:szCs w:val="24"/>
          <w:u w:val="single"/>
        </w:rPr>
        <w:t>were actuarially determined</w:t>
      </w:r>
      <w:r>
        <w:rPr>
          <w:rFonts w:ascii="Times New Roman" w:hAnsi="Times New Roman" w:cs="Times New Roman"/>
          <w:i/>
          <w:sz w:val="24"/>
          <w:szCs w:val="24"/>
          <w:u w:val="single"/>
        </w:rPr>
        <w:t>,</w:t>
      </w:r>
      <w:r>
        <w:rPr>
          <w:rFonts w:ascii="Times New Roman" w:hAnsi="Times New Roman" w:cs="Times New Roman"/>
          <w:sz w:val="24"/>
          <w:szCs w:val="24"/>
        </w:rPr>
        <w:t xml:space="preserve"> as reflected in the report of actuary Glicksman.  No contrary evidence was presented by the government.  Each participating captive’s premiums were based on a combination of the underwriting judgment of an experienced underwriter, who had in hand the pricing indications from independent MGA in connection with pricing the policies for each insured.  Finally, two independent actuarial firms vetted the process and the premium amounts charged by Reserve for each of 2008, 2009 and 2010, concluding that Reserve’s premiums were reasonable in amount.  All of this was uncontroverted</w:t>
      </w:r>
      <w:r w:rsidR="003A307E">
        <w:rPr>
          <w:rFonts w:ascii="Times New Roman" w:hAnsi="Times New Roman" w:cs="Times New Roman"/>
          <w:sz w:val="24"/>
          <w:szCs w:val="24"/>
        </w:rPr>
        <w:t>, with the government offering no contrary evidence.</w:t>
      </w:r>
    </w:p>
    <w:p w14:paraId="344D3314" w14:textId="77777777" w:rsidR="000A2139" w:rsidRDefault="000A2139" w:rsidP="009D6A51">
      <w:pPr>
        <w:spacing w:after="0" w:line="240" w:lineRule="auto"/>
        <w:rPr>
          <w:rFonts w:ascii="Times New Roman" w:hAnsi="Times New Roman" w:cs="Times New Roman"/>
          <w:sz w:val="24"/>
          <w:szCs w:val="24"/>
        </w:rPr>
      </w:pPr>
    </w:p>
    <w:p w14:paraId="10AD4835" w14:textId="75F2E57A" w:rsidR="000A2139" w:rsidRDefault="000A2139" w:rsidP="009D6A51">
      <w:pPr>
        <w:spacing w:after="0" w:line="240" w:lineRule="auto"/>
        <w:rPr>
          <w:rFonts w:ascii="Times New Roman" w:hAnsi="Times New Roman" w:cs="Times New Roman"/>
          <w:sz w:val="24"/>
          <w:szCs w:val="24"/>
        </w:rPr>
      </w:pPr>
      <w:r>
        <w:rPr>
          <w:rFonts w:ascii="Times New Roman" w:hAnsi="Times New Roman" w:cs="Times New Roman"/>
          <w:sz w:val="24"/>
          <w:szCs w:val="24"/>
        </w:rPr>
        <w:t>In light of the above, the Court’s several holdings cannot be reconciled with the Court’s express conclusion that PoolRe’s premiums were actuarially determined.  Opinion at 61: “</w:t>
      </w:r>
      <w:r w:rsidRPr="00792259">
        <w:rPr>
          <w:rFonts w:ascii="Times New Roman" w:hAnsi="Times New Roman" w:cs="Times New Roman"/>
          <w:b/>
          <w:sz w:val="24"/>
          <w:szCs w:val="24"/>
        </w:rPr>
        <w:t>Capstone calculated Reserve</w:t>
      </w:r>
      <w:r>
        <w:rPr>
          <w:rFonts w:ascii="Times New Roman" w:hAnsi="Times New Roman" w:cs="Times New Roman"/>
          <w:b/>
          <w:sz w:val="24"/>
          <w:szCs w:val="24"/>
        </w:rPr>
        <w:t>’</w:t>
      </w:r>
      <w:r w:rsidRPr="00792259">
        <w:rPr>
          <w:rFonts w:ascii="Times New Roman" w:hAnsi="Times New Roman" w:cs="Times New Roman"/>
          <w:b/>
          <w:sz w:val="24"/>
          <w:szCs w:val="24"/>
        </w:rPr>
        <w:t>s premiums using objective criteria and what appear to be actuarial methods</w:t>
      </w:r>
      <w:r>
        <w:rPr>
          <w:rFonts w:ascii="Times New Roman" w:hAnsi="Times New Roman" w:cs="Times New Roman"/>
          <w:sz w:val="24"/>
          <w:szCs w:val="24"/>
        </w:rPr>
        <w:t>.”</w:t>
      </w:r>
      <w:r>
        <w:rPr>
          <w:rStyle w:val="EndnoteReference"/>
          <w:rFonts w:ascii="Times New Roman" w:hAnsi="Times New Roman" w:cs="Times New Roman"/>
          <w:sz w:val="24"/>
          <w:szCs w:val="24"/>
        </w:rPr>
        <w:endnoteReference w:id="113"/>
      </w:r>
      <w:r>
        <w:rPr>
          <w:rFonts w:ascii="Times New Roman" w:hAnsi="Times New Roman" w:cs="Times New Roman"/>
          <w:sz w:val="24"/>
          <w:szCs w:val="24"/>
        </w:rPr>
        <w:t xml:space="preserve">  By acknowledging this, the Court confirmed that PoolRe’s premiums were also appropriately determined because Reserve’s premiums included premiums ceded to it by PoolRe for the 650+ policies, following Glicksman’s and Myron Steve’s guidance.</w:t>
      </w:r>
      <w:r>
        <w:rPr>
          <w:rStyle w:val="EndnoteReference"/>
          <w:rFonts w:ascii="Times New Roman" w:hAnsi="Times New Roman" w:cs="Times New Roman"/>
          <w:sz w:val="24"/>
          <w:szCs w:val="24"/>
        </w:rPr>
        <w:endnoteReference w:id="114"/>
      </w:r>
      <w:r>
        <w:rPr>
          <w:rFonts w:ascii="Times New Roman" w:hAnsi="Times New Roman" w:cs="Times New Roman"/>
          <w:sz w:val="24"/>
          <w:szCs w:val="24"/>
        </w:rPr>
        <w:t xml:space="preserve">  </w:t>
      </w:r>
      <w:r w:rsidRPr="00025825">
        <w:rPr>
          <w:rFonts w:ascii="Times New Roman" w:hAnsi="Times New Roman" w:cs="Times New Roman"/>
          <w:sz w:val="24"/>
          <w:szCs w:val="24"/>
        </w:rPr>
        <w:t>No</w:t>
      </w:r>
      <w:r>
        <w:rPr>
          <w:rFonts w:ascii="Times New Roman" w:hAnsi="Times New Roman" w:cs="Times New Roman"/>
          <w:sz w:val="24"/>
          <w:szCs w:val="24"/>
        </w:rPr>
        <w:t xml:space="preserve"> evidence was presented by the government at trial that any </w:t>
      </w:r>
      <w:r w:rsidRPr="00025825">
        <w:rPr>
          <w:rFonts w:ascii="Times New Roman" w:hAnsi="Times New Roman" w:cs="Times New Roman"/>
          <w:sz w:val="24"/>
          <w:szCs w:val="24"/>
        </w:rPr>
        <w:t>of the premiums at issue in</w:t>
      </w:r>
      <w:r>
        <w:rPr>
          <w:rFonts w:ascii="Times New Roman" w:hAnsi="Times New Roman" w:cs="Times New Roman"/>
          <w:sz w:val="24"/>
          <w:szCs w:val="24"/>
        </w:rPr>
        <w:t xml:space="preserve"> </w:t>
      </w:r>
      <w:r w:rsidRPr="000436E4">
        <w:rPr>
          <w:rFonts w:ascii="Times New Roman" w:hAnsi="Times New Roman" w:cs="Times New Roman"/>
          <w:i/>
          <w:sz w:val="24"/>
          <w:szCs w:val="24"/>
        </w:rPr>
        <w:t>Reserve</w:t>
      </w:r>
      <w:r w:rsidRPr="00025825">
        <w:rPr>
          <w:rFonts w:ascii="Times New Roman" w:hAnsi="Times New Roman" w:cs="Times New Roman"/>
          <w:sz w:val="24"/>
          <w:szCs w:val="24"/>
        </w:rPr>
        <w:t xml:space="preserve"> were</w:t>
      </w:r>
      <w:r>
        <w:rPr>
          <w:rFonts w:ascii="Times New Roman" w:hAnsi="Times New Roman" w:cs="Times New Roman"/>
          <w:sz w:val="24"/>
          <w:szCs w:val="24"/>
        </w:rPr>
        <w:t xml:space="preserve"> </w:t>
      </w:r>
      <w:r w:rsidRPr="00025825">
        <w:rPr>
          <w:rFonts w:ascii="Times New Roman" w:hAnsi="Times New Roman" w:cs="Times New Roman"/>
          <w:sz w:val="24"/>
          <w:szCs w:val="24"/>
        </w:rPr>
        <w:t xml:space="preserve">mispriced.  All of the premiums in </w:t>
      </w:r>
      <w:r w:rsidRPr="000436E4">
        <w:rPr>
          <w:rFonts w:ascii="Times New Roman" w:hAnsi="Times New Roman" w:cs="Times New Roman"/>
          <w:i/>
          <w:sz w:val="24"/>
          <w:szCs w:val="24"/>
        </w:rPr>
        <w:t>Reserve</w:t>
      </w:r>
      <w:r w:rsidRPr="00025825">
        <w:rPr>
          <w:rFonts w:ascii="Times New Roman" w:hAnsi="Times New Roman" w:cs="Times New Roman"/>
          <w:sz w:val="24"/>
          <w:szCs w:val="24"/>
        </w:rPr>
        <w:t xml:space="preserve"> were reviewed by multiple levels</w:t>
      </w:r>
      <w:r>
        <w:rPr>
          <w:rFonts w:ascii="Times New Roman" w:hAnsi="Times New Roman" w:cs="Times New Roman"/>
          <w:sz w:val="24"/>
          <w:szCs w:val="24"/>
        </w:rPr>
        <w:t xml:space="preserve"> of</w:t>
      </w:r>
      <w:r w:rsidRPr="00025825">
        <w:rPr>
          <w:rFonts w:ascii="Times New Roman" w:hAnsi="Times New Roman" w:cs="Times New Roman"/>
          <w:sz w:val="24"/>
          <w:szCs w:val="24"/>
        </w:rPr>
        <w:t xml:space="preserve"> </w:t>
      </w:r>
      <w:r>
        <w:rPr>
          <w:rFonts w:ascii="Times New Roman" w:hAnsi="Times New Roman" w:cs="Times New Roman"/>
          <w:sz w:val="24"/>
          <w:szCs w:val="24"/>
        </w:rPr>
        <w:t xml:space="preserve">professionals, ranging from </w:t>
      </w:r>
      <w:r w:rsidRPr="00025825">
        <w:rPr>
          <w:rFonts w:ascii="Times New Roman" w:hAnsi="Times New Roman" w:cs="Times New Roman"/>
          <w:sz w:val="24"/>
          <w:szCs w:val="24"/>
        </w:rPr>
        <w:t>fully credentialed actuaries</w:t>
      </w:r>
      <w:r>
        <w:rPr>
          <w:rFonts w:ascii="Times New Roman" w:hAnsi="Times New Roman" w:cs="Times New Roman"/>
          <w:sz w:val="24"/>
          <w:szCs w:val="24"/>
        </w:rPr>
        <w:t xml:space="preserve"> to </w:t>
      </w:r>
      <w:r w:rsidRPr="00025825">
        <w:rPr>
          <w:rFonts w:ascii="Times New Roman" w:hAnsi="Times New Roman" w:cs="Times New Roman"/>
          <w:sz w:val="24"/>
          <w:szCs w:val="24"/>
        </w:rPr>
        <w:t>CPCUs, underwriters and Lloyd’s managing general agents.</w:t>
      </w:r>
    </w:p>
    <w:p w14:paraId="62B7C6BC" w14:textId="77777777" w:rsidR="000A2139" w:rsidRDefault="000A2139" w:rsidP="009D6A51">
      <w:pPr>
        <w:spacing w:after="0" w:line="240" w:lineRule="auto"/>
        <w:rPr>
          <w:rFonts w:ascii="Times New Roman" w:hAnsi="Times New Roman" w:cs="Times New Roman"/>
          <w:sz w:val="24"/>
          <w:szCs w:val="24"/>
        </w:rPr>
      </w:pPr>
    </w:p>
    <w:p w14:paraId="3F4FFDF4" w14:textId="7B63FDE8" w:rsidR="000A2139" w:rsidRDefault="000A2139" w:rsidP="009D6A51">
      <w:pPr>
        <w:spacing w:after="0" w:line="240" w:lineRule="auto"/>
        <w:rPr>
          <w:rFonts w:ascii="Times New Roman" w:hAnsi="Times New Roman" w:cs="Times New Roman"/>
          <w:sz w:val="24"/>
          <w:szCs w:val="24"/>
        </w:rPr>
      </w:pPr>
      <w:r>
        <w:rPr>
          <w:rFonts w:ascii="Times New Roman" w:hAnsi="Times New Roman" w:cs="Times New Roman"/>
          <w:sz w:val="24"/>
          <w:szCs w:val="24"/>
        </w:rPr>
        <w:t>The function of actuary Glicksman was to</w:t>
      </w:r>
      <w:r w:rsidRPr="007F1370">
        <w:t xml:space="preserve"> </w:t>
      </w:r>
      <w:r w:rsidRPr="007F1370">
        <w:rPr>
          <w:rFonts w:ascii="Times New Roman" w:hAnsi="Times New Roman" w:cs="Times New Roman"/>
          <w:sz w:val="24"/>
          <w:szCs w:val="24"/>
        </w:rPr>
        <w:t>calculat</w:t>
      </w:r>
      <w:r>
        <w:rPr>
          <w:rFonts w:ascii="Times New Roman" w:hAnsi="Times New Roman" w:cs="Times New Roman"/>
          <w:sz w:val="24"/>
          <w:szCs w:val="24"/>
        </w:rPr>
        <w:t>e</w:t>
      </w:r>
      <w:r w:rsidRPr="007F1370">
        <w:rPr>
          <w:rFonts w:ascii="Times New Roman" w:hAnsi="Times New Roman" w:cs="Times New Roman"/>
          <w:sz w:val="24"/>
          <w:szCs w:val="24"/>
        </w:rPr>
        <w:t xml:space="preserve"> the percentage of </w:t>
      </w:r>
      <w:r>
        <w:rPr>
          <w:rFonts w:ascii="Times New Roman" w:hAnsi="Times New Roman" w:cs="Times New Roman"/>
          <w:sz w:val="24"/>
          <w:szCs w:val="24"/>
        </w:rPr>
        <w:t xml:space="preserve">each insured’s direct written </w:t>
      </w:r>
      <w:r w:rsidRPr="007F1370">
        <w:rPr>
          <w:rFonts w:ascii="Times New Roman" w:hAnsi="Times New Roman" w:cs="Times New Roman"/>
          <w:sz w:val="24"/>
          <w:szCs w:val="24"/>
        </w:rPr>
        <w:t xml:space="preserve">premiums </w:t>
      </w:r>
      <w:r>
        <w:rPr>
          <w:rFonts w:ascii="Times New Roman" w:hAnsi="Times New Roman" w:cs="Times New Roman"/>
          <w:sz w:val="24"/>
          <w:szCs w:val="24"/>
        </w:rPr>
        <w:t xml:space="preserve">paid </w:t>
      </w:r>
      <w:r w:rsidRPr="007F1370">
        <w:rPr>
          <w:rFonts w:ascii="Times New Roman" w:hAnsi="Times New Roman" w:cs="Times New Roman"/>
          <w:sz w:val="24"/>
          <w:szCs w:val="24"/>
        </w:rPr>
        <w:t>to PoolRe</w:t>
      </w:r>
      <w:r>
        <w:rPr>
          <w:rFonts w:ascii="Times New Roman" w:hAnsi="Times New Roman" w:cs="Times New Roman"/>
          <w:sz w:val="24"/>
          <w:szCs w:val="24"/>
        </w:rPr>
        <w:t xml:space="preserve"> for the stop loss coverages which, once aggregated, formed the basis of the quota share program.  For PoolRe to share risks among the 650+ policies, involving 200+ insureds and 58 captive insurers, each policy needs to be appropriately (that is, risk-adjusted) priced from the inception.  The purpose of conducting a feasibility study for each separate insured business was to enable accurate policy pricing with respect to each captive that participated in PoolRe and to obtain</w:t>
      </w:r>
      <w:r w:rsidRPr="003F7FC5">
        <w:rPr>
          <w:rFonts w:ascii="Times New Roman" w:hAnsi="Times New Roman" w:cs="Times New Roman"/>
          <w:sz w:val="24"/>
          <w:szCs w:val="24"/>
        </w:rPr>
        <w:t xml:space="preserve"> MGA </w:t>
      </w:r>
      <w:r>
        <w:rPr>
          <w:rFonts w:ascii="Times New Roman" w:hAnsi="Times New Roman" w:cs="Times New Roman"/>
          <w:sz w:val="24"/>
          <w:szCs w:val="24"/>
        </w:rPr>
        <w:t xml:space="preserve">pricing </w:t>
      </w:r>
      <w:r w:rsidRPr="003F7FC5">
        <w:rPr>
          <w:rFonts w:ascii="Times New Roman" w:hAnsi="Times New Roman" w:cs="Times New Roman"/>
          <w:sz w:val="24"/>
          <w:szCs w:val="24"/>
        </w:rPr>
        <w:t>indications of premium</w:t>
      </w:r>
      <w:r>
        <w:rPr>
          <w:rFonts w:ascii="Times New Roman" w:hAnsi="Times New Roman" w:cs="Times New Roman"/>
          <w:sz w:val="24"/>
          <w:szCs w:val="24"/>
        </w:rPr>
        <w:t>s</w:t>
      </w:r>
      <w:r w:rsidRPr="003F7FC5">
        <w:rPr>
          <w:rFonts w:ascii="Times New Roman" w:hAnsi="Times New Roman" w:cs="Times New Roman"/>
          <w:sz w:val="24"/>
          <w:szCs w:val="24"/>
        </w:rPr>
        <w:t xml:space="preserve"> </w:t>
      </w:r>
      <w:r>
        <w:rPr>
          <w:rFonts w:ascii="Times New Roman" w:hAnsi="Times New Roman" w:cs="Times New Roman"/>
          <w:sz w:val="24"/>
          <w:szCs w:val="24"/>
        </w:rPr>
        <w:t xml:space="preserve">for each participating captive in conjunction with conducting an </w:t>
      </w:r>
      <w:r w:rsidRPr="003F7FC5">
        <w:rPr>
          <w:rFonts w:ascii="Times New Roman" w:hAnsi="Times New Roman" w:cs="Times New Roman"/>
          <w:sz w:val="24"/>
          <w:szCs w:val="24"/>
        </w:rPr>
        <w:t>underwriter’s examination</w:t>
      </w:r>
      <w:r>
        <w:rPr>
          <w:rFonts w:ascii="Times New Roman" w:hAnsi="Times New Roman" w:cs="Times New Roman"/>
          <w:sz w:val="24"/>
          <w:szCs w:val="24"/>
        </w:rPr>
        <w:t xml:space="preserve">.  In the case of </w:t>
      </w:r>
      <w:r w:rsidRPr="0074776D">
        <w:rPr>
          <w:rFonts w:ascii="Times New Roman" w:hAnsi="Times New Roman" w:cs="Times New Roman"/>
          <w:i/>
          <w:sz w:val="24"/>
          <w:szCs w:val="24"/>
        </w:rPr>
        <w:t>Reserve</w:t>
      </w:r>
      <w:r>
        <w:rPr>
          <w:rFonts w:ascii="Times New Roman" w:hAnsi="Times New Roman" w:cs="Times New Roman"/>
          <w:sz w:val="24"/>
          <w:szCs w:val="24"/>
        </w:rPr>
        <w:t xml:space="preserve">, the policy pricing was additionally confirmed by actuaries Mead and Solomon.  Despite the evidence before it, the Court appeared determined not to let the dissimilarities of </w:t>
      </w:r>
      <w:r w:rsidRPr="00C3006B">
        <w:rPr>
          <w:rFonts w:ascii="Times New Roman" w:hAnsi="Times New Roman" w:cs="Times New Roman"/>
          <w:i/>
          <w:sz w:val="24"/>
          <w:szCs w:val="24"/>
        </w:rPr>
        <w:t>Avrahami</w:t>
      </w:r>
      <w:r>
        <w:rPr>
          <w:rFonts w:ascii="Times New Roman" w:hAnsi="Times New Roman" w:cs="Times New Roman"/>
          <w:sz w:val="24"/>
          <w:szCs w:val="24"/>
        </w:rPr>
        <w:t xml:space="preserve"> affect its holding.</w:t>
      </w:r>
    </w:p>
    <w:p w14:paraId="7ACE4371" w14:textId="77777777" w:rsidR="000A2139" w:rsidRDefault="000A2139" w:rsidP="00597506">
      <w:pPr>
        <w:spacing w:after="0" w:line="240" w:lineRule="auto"/>
        <w:rPr>
          <w:rFonts w:ascii="Times New Roman" w:hAnsi="Times New Roman" w:cs="Times New Roman"/>
          <w:sz w:val="24"/>
          <w:szCs w:val="24"/>
        </w:rPr>
      </w:pPr>
    </w:p>
    <w:p w14:paraId="55FE4308" w14:textId="77777777" w:rsidR="000A2139" w:rsidRPr="00CF3CFC" w:rsidRDefault="000A2139" w:rsidP="00CF3CFC">
      <w:pPr>
        <w:pStyle w:val="Heading3"/>
        <w:spacing w:before="0" w:line="240" w:lineRule="auto"/>
        <w:rPr>
          <w:rFonts w:ascii="Times New Roman" w:hAnsi="Times New Roman" w:cs="Times New Roman"/>
          <w:b/>
          <w:color w:val="auto"/>
        </w:rPr>
      </w:pPr>
      <w:bookmarkStart w:id="36" w:name="_Toc534366179"/>
      <w:r w:rsidRPr="00CF3CFC">
        <w:rPr>
          <w:rFonts w:ascii="Times New Roman" w:hAnsi="Times New Roman" w:cs="Times New Roman"/>
          <w:b/>
          <w:color w:val="auto"/>
        </w:rPr>
        <w:t>4.  Faced Actual and Insurable Risk</w:t>
      </w:r>
      <w:bookmarkEnd w:id="36"/>
    </w:p>
    <w:p w14:paraId="165E62D9" w14:textId="77777777" w:rsidR="000A2139" w:rsidRDefault="000A2139" w:rsidP="008D11EC">
      <w:pPr>
        <w:spacing w:after="0" w:line="240" w:lineRule="auto"/>
        <w:rPr>
          <w:rFonts w:ascii="Times New Roman" w:hAnsi="Times New Roman" w:cs="Times New Roman"/>
          <w:sz w:val="24"/>
          <w:szCs w:val="24"/>
        </w:rPr>
      </w:pPr>
    </w:p>
    <w:p w14:paraId="3E02E99C" w14:textId="77777777" w:rsidR="000A2139" w:rsidRDefault="000A2139" w:rsidP="008B165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evaluating this factor, the Court stated as follows: </w:t>
      </w:r>
    </w:p>
    <w:p w14:paraId="10C8EA27" w14:textId="77777777" w:rsidR="000A2139" w:rsidRDefault="000A2139" w:rsidP="008B1659">
      <w:pPr>
        <w:spacing w:after="0" w:line="240" w:lineRule="auto"/>
        <w:rPr>
          <w:rFonts w:ascii="Times New Roman" w:hAnsi="Times New Roman" w:cs="Times New Roman"/>
          <w:sz w:val="24"/>
          <w:szCs w:val="24"/>
        </w:rPr>
      </w:pPr>
    </w:p>
    <w:p w14:paraId="06CBA3E7" w14:textId="77777777" w:rsidR="000A2139" w:rsidRDefault="000A2139" w:rsidP="00CA6191">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w:t>
      </w:r>
      <w:r w:rsidRPr="00CA6191">
        <w:rPr>
          <w:rFonts w:ascii="Times New Roman" w:hAnsi="Times New Roman" w:cs="Times New Roman"/>
          <w:b/>
          <w:i/>
          <w:sz w:val="24"/>
          <w:szCs w:val="24"/>
        </w:rPr>
        <w:t>The available history of losses for Peak and the other insureds shows that before the tax years in issue they never suffered any losses that would even come close to triggering the stop loss coverage provided for in the stop loss endorsements. PoolRe was removed far from any actual risk associated with the business or operations of Reserve</w:t>
      </w:r>
      <w:r>
        <w:rPr>
          <w:rFonts w:ascii="Times New Roman" w:hAnsi="Times New Roman" w:cs="Times New Roman"/>
          <w:b/>
          <w:i/>
          <w:sz w:val="24"/>
          <w:szCs w:val="24"/>
        </w:rPr>
        <w:t>’</w:t>
      </w:r>
      <w:r w:rsidRPr="00CA6191">
        <w:rPr>
          <w:rFonts w:ascii="Times New Roman" w:hAnsi="Times New Roman" w:cs="Times New Roman"/>
          <w:b/>
          <w:i/>
          <w:sz w:val="24"/>
          <w:szCs w:val="24"/>
        </w:rPr>
        <w:t>s insureds</w:t>
      </w:r>
      <w:r w:rsidRPr="008B1659">
        <w:rPr>
          <w:rFonts w:ascii="Times New Roman" w:hAnsi="Times New Roman" w:cs="Times New Roman"/>
          <w:sz w:val="24"/>
          <w:szCs w:val="24"/>
        </w:rPr>
        <w:t>.</w:t>
      </w:r>
      <w:r>
        <w:rPr>
          <w:rFonts w:ascii="Times New Roman" w:hAnsi="Times New Roman" w:cs="Times New Roman"/>
          <w:sz w:val="24"/>
          <w:szCs w:val="24"/>
        </w:rPr>
        <w:t>”</w:t>
      </w:r>
      <w:r>
        <w:rPr>
          <w:rStyle w:val="EndnoteReference"/>
          <w:rFonts w:ascii="Times New Roman" w:hAnsi="Times New Roman" w:cs="Times New Roman"/>
          <w:sz w:val="24"/>
          <w:szCs w:val="24"/>
        </w:rPr>
        <w:endnoteReference w:id="115"/>
      </w:r>
    </w:p>
    <w:p w14:paraId="4D5B7E34" w14:textId="77777777" w:rsidR="000A2139" w:rsidRDefault="000A2139" w:rsidP="008B1659">
      <w:pPr>
        <w:spacing w:after="0" w:line="240" w:lineRule="auto"/>
        <w:rPr>
          <w:rFonts w:ascii="Times New Roman" w:hAnsi="Times New Roman" w:cs="Times New Roman"/>
          <w:sz w:val="24"/>
          <w:szCs w:val="24"/>
        </w:rPr>
      </w:pPr>
    </w:p>
    <w:p w14:paraId="4A056DF4" w14:textId="6956A55F" w:rsidR="000A2139" w:rsidRDefault="000A2139" w:rsidP="008B1659">
      <w:pPr>
        <w:spacing w:after="0" w:line="240" w:lineRule="auto"/>
        <w:rPr>
          <w:rFonts w:ascii="Times New Roman" w:hAnsi="Times New Roman" w:cs="Times New Roman"/>
          <w:sz w:val="24"/>
          <w:szCs w:val="24"/>
        </w:rPr>
      </w:pPr>
      <w:r>
        <w:rPr>
          <w:rFonts w:ascii="Times New Roman" w:hAnsi="Times New Roman" w:cs="Times New Roman"/>
          <w:sz w:val="24"/>
          <w:szCs w:val="24"/>
        </w:rPr>
        <w:t>The frequency (likelihood) and severity of the losses of the 200+ other insureds on the 650+ policies is what determines policy pricing.  The loss history on the 650+ other policies</w:t>
      </w:r>
      <w:r>
        <w:t xml:space="preserve"> </w:t>
      </w:r>
      <w:r>
        <w:rPr>
          <w:rFonts w:ascii="Times New Roman" w:hAnsi="Times New Roman" w:cs="Times New Roman"/>
          <w:sz w:val="24"/>
          <w:szCs w:val="24"/>
        </w:rPr>
        <w:t>was not before the Court as a litigated issue.  And the Court had already determined that Reserve’s policy pricing was objective and actuarially based.  The testimony of Reserve’s underwriter (McNeel) established that the same pricing methodology followed by Reserve was also followed for all other pool participants, with no contrary evidence being offered by the government.</w:t>
      </w:r>
      <w:r>
        <w:rPr>
          <w:rStyle w:val="EndnoteReference"/>
          <w:rFonts w:ascii="Times New Roman" w:hAnsi="Times New Roman" w:cs="Times New Roman"/>
          <w:sz w:val="24"/>
          <w:szCs w:val="24"/>
        </w:rPr>
        <w:endnoteReference w:id="116"/>
      </w:r>
      <w:r>
        <w:rPr>
          <w:rFonts w:ascii="Times New Roman" w:hAnsi="Times New Roman" w:cs="Times New Roman"/>
          <w:sz w:val="24"/>
          <w:szCs w:val="24"/>
        </w:rPr>
        <w:t xml:space="preserve">  </w:t>
      </w:r>
    </w:p>
    <w:p w14:paraId="4D57F40B" w14:textId="77777777" w:rsidR="000A2139" w:rsidRDefault="000A2139" w:rsidP="008B1659">
      <w:pPr>
        <w:spacing w:after="0" w:line="240" w:lineRule="auto"/>
        <w:rPr>
          <w:rFonts w:ascii="Times New Roman" w:hAnsi="Times New Roman" w:cs="Times New Roman"/>
          <w:sz w:val="24"/>
          <w:szCs w:val="24"/>
        </w:rPr>
      </w:pPr>
    </w:p>
    <w:p w14:paraId="423A31FF" w14:textId="77777777" w:rsidR="000A2139" w:rsidRDefault="000A2139" w:rsidP="008B1659">
      <w:pPr>
        <w:spacing w:after="0" w:line="240" w:lineRule="auto"/>
        <w:rPr>
          <w:rFonts w:ascii="Times New Roman" w:hAnsi="Times New Roman" w:cs="Times New Roman"/>
          <w:sz w:val="24"/>
          <w:szCs w:val="24"/>
        </w:rPr>
      </w:pPr>
      <w:r>
        <w:rPr>
          <w:rFonts w:ascii="Times New Roman" w:hAnsi="Times New Roman" w:cs="Times New Roman"/>
          <w:sz w:val="24"/>
          <w:szCs w:val="24"/>
        </w:rPr>
        <w:t>The</w:t>
      </w:r>
      <w:r w:rsidRPr="00A02A0D">
        <w:rPr>
          <w:rFonts w:ascii="Times New Roman" w:hAnsi="Times New Roman" w:cs="Times New Roman"/>
          <w:sz w:val="24"/>
          <w:szCs w:val="24"/>
        </w:rPr>
        <w:t xml:space="preserve"> </w:t>
      </w:r>
      <w:r>
        <w:rPr>
          <w:rFonts w:ascii="Times New Roman" w:hAnsi="Times New Roman" w:cs="Times New Roman"/>
          <w:sz w:val="24"/>
          <w:szCs w:val="24"/>
        </w:rPr>
        <w:t>C</w:t>
      </w:r>
      <w:r w:rsidRPr="00A02A0D">
        <w:rPr>
          <w:rFonts w:ascii="Times New Roman" w:hAnsi="Times New Roman" w:cs="Times New Roman"/>
          <w:sz w:val="24"/>
          <w:szCs w:val="24"/>
        </w:rPr>
        <w:t xml:space="preserve">ourt’s </w:t>
      </w:r>
      <w:r>
        <w:rPr>
          <w:rFonts w:ascii="Times New Roman" w:hAnsi="Times New Roman" w:cs="Times New Roman"/>
          <w:sz w:val="24"/>
          <w:szCs w:val="24"/>
        </w:rPr>
        <w:t>statement that the Peak insured’s may not have suffered previous losses</w:t>
      </w:r>
      <w:r>
        <w:rPr>
          <w:rStyle w:val="EndnoteReference"/>
          <w:rFonts w:ascii="Times New Roman" w:hAnsi="Times New Roman" w:cs="Times New Roman"/>
          <w:sz w:val="24"/>
          <w:szCs w:val="24"/>
        </w:rPr>
        <w:endnoteReference w:id="117"/>
      </w:r>
      <w:r>
        <w:rPr>
          <w:rFonts w:ascii="Times New Roman" w:hAnsi="Times New Roman" w:cs="Times New Roman"/>
          <w:sz w:val="24"/>
          <w:szCs w:val="24"/>
        </w:rPr>
        <w:t xml:space="preserve"> in areas covered by Reserve’s policies was highly unusual.  This misconstrues the fundamental nature of insurance, being covering fortuitous (future) events.  The Court’s articulating the need for a past loss history</w:t>
      </w:r>
      <w:r>
        <w:t xml:space="preserve"> </w:t>
      </w:r>
      <w:r>
        <w:rPr>
          <w:rFonts w:ascii="Times New Roman" w:hAnsi="Times New Roman" w:cs="Times New Roman"/>
          <w:sz w:val="24"/>
          <w:szCs w:val="24"/>
        </w:rPr>
        <w:t xml:space="preserve">as a prerequisite of insurance evidences the Court’s fundamental misunderstanding of insurance.  There has never been any requirement under case law </w:t>
      </w:r>
      <w:r w:rsidRPr="00A02A0D">
        <w:rPr>
          <w:rFonts w:ascii="Times New Roman" w:hAnsi="Times New Roman" w:cs="Times New Roman"/>
          <w:sz w:val="24"/>
          <w:szCs w:val="24"/>
        </w:rPr>
        <w:t xml:space="preserve">for an insured to show </w:t>
      </w:r>
      <w:r>
        <w:rPr>
          <w:rFonts w:ascii="Times New Roman" w:hAnsi="Times New Roman" w:cs="Times New Roman"/>
          <w:sz w:val="24"/>
          <w:szCs w:val="24"/>
        </w:rPr>
        <w:t xml:space="preserve">a history of </w:t>
      </w:r>
      <w:r w:rsidRPr="00A02A0D">
        <w:rPr>
          <w:rFonts w:ascii="Times New Roman" w:hAnsi="Times New Roman" w:cs="Times New Roman"/>
          <w:sz w:val="24"/>
          <w:szCs w:val="24"/>
        </w:rPr>
        <w:t xml:space="preserve">prior losses </w:t>
      </w:r>
      <w:r>
        <w:rPr>
          <w:rFonts w:ascii="Times New Roman" w:hAnsi="Times New Roman" w:cs="Times New Roman"/>
          <w:sz w:val="24"/>
          <w:szCs w:val="24"/>
        </w:rPr>
        <w:t xml:space="preserve">for a policy to qualify as insurance for federal income tax purposes or as a requisite to buy a policy.  The Court’s articulated standard is fundamentally in error and has </w:t>
      </w:r>
      <w:r w:rsidRPr="00A02A0D">
        <w:rPr>
          <w:rFonts w:ascii="Times New Roman" w:hAnsi="Times New Roman" w:cs="Times New Roman"/>
          <w:sz w:val="24"/>
          <w:szCs w:val="24"/>
        </w:rPr>
        <w:t xml:space="preserve">no basis in </w:t>
      </w:r>
      <w:r>
        <w:rPr>
          <w:rFonts w:ascii="Times New Roman" w:hAnsi="Times New Roman" w:cs="Times New Roman"/>
          <w:sz w:val="24"/>
          <w:szCs w:val="24"/>
        </w:rPr>
        <w:t xml:space="preserve">law or in </w:t>
      </w:r>
      <w:r w:rsidRPr="00A02A0D">
        <w:rPr>
          <w:rFonts w:ascii="Times New Roman" w:hAnsi="Times New Roman" w:cs="Times New Roman"/>
          <w:sz w:val="24"/>
          <w:szCs w:val="24"/>
        </w:rPr>
        <w:t xml:space="preserve">the insurance industry. </w:t>
      </w:r>
      <w:r>
        <w:rPr>
          <w:rFonts w:ascii="Times New Roman" w:hAnsi="Times New Roman" w:cs="Times New Roman"/>
          <w:sz w:val="24"/>
          <w:szCs w:val="24"/>
        </w:rPr>
        <w:t xml:space="preserve">The widely accepted standard for a risk to constitute an “insurance risk” for federal income tax purposes is that an insurance policy must </w:t>
      </w:r>
      <w:r w:rsidRPr="00A02A0D">
        <w:rPr>
          <w:rFonts w:ascii="Times New Roman" w:hAnsi="Times New Roman" w:cs="Times New Roman"/>
          <w:sz w:val="24"/>
          <w:szCs w:val="24"/>
        </w:rPr>
        <w:t xml:space="preserve">insure against </w:t>
      </w:r>
      <w:r>
        <w:rPr>
          <w:rFonts w:ascii="Times New Roman" w:hAnsi="Times New Roman" w:cs="Times New Roman"/>
          <w:sz w:val="24"/>
          <w:szCs w:val="24"/>
        </w:rPr>
        <w:t>a “</w:t>
      </w:r>
      <w:r w:rsidRPr="00F033C9">
        <w:rPr>
          <w:rFonts w:ascii="Times New Roman" w:hAnsi="Times New Roman" w:cs="Times New Roman"/>
          <w:b/>
          <w:sz w:val="24"/>
          <w:szCs w:val="24"/>
        </w:rPr>
        <w:t>fortuitous risk</w:t>
      </w:r>
      <w:r>
        <w:rPr>
          <w:rFonts w:ascii="Times New Roman" w:hAnsi="Times New Roman" w:cs="Times New Roman"/>
          <w:sz w:val="24"/>
          <w:szCs w:val="24"/>
        </w:rPr>
        <w:t>”</w:t>
      </w:r>
      <w:r w:rsidRPr="00A02A0D">
        <w:rPr>
          <w:rFonts w:ascii="Times New Roman" w:hAnsi="Times New Roman" w:cs="Times New Roman"/>
          <w:sz w:val="24"/>
          <w:szCs w:val="24"/>
        </w:rPr>
        <w:t xml:space="preserve"> of future losses</w:t>
      </w:r>
      <w:r>
        <w:rPr>
          <w:rStyle w:val="EndnoteReference"/>
          <w:rFonts w:ascii="Times New Roman" w:hAnsi="Times New Roman" w:cs="Times New Roman"/>
          <w:sz w:val="24"/>
          <w:szCs w:val="24"/>
        </w:rPr>
        <w:endnoteReference w:id="118"/>
      </w:r>
      <w:r>
        <w:rPr>
          <w:rFonts w:ascii="Times New Roman" w:hAnsi="Times New Roman" w:cs="Times New Roman"/>
          <w:sz w:val="24"/>
          <w:szCs w:val="24"/>
        </w:rPr>
        <w:t xml:space="preserve"> rather than against the</w:t>
      </w:r>
      <w:r w:rsidRPr="00A02A0D">
        <w:rPr>
          <w:rFonts w:ascii="Times New Roman" w:hAnsi="Times New Roman" w:cs="Times New Roman"/>
          <w:sz w:val="24"/>
          <w:szCs w:val="24"/>
        </w:rPr>
        <w:t xml:space="preserve"> fear of a reoccurrence</w:t>
      </w:r>
      <w:r>
        <w:rPr>
          <w:rFonts w:ascii="Times New Roman" w:hAnsi="Times New Roman" w:cs="Times New Roman"/>
          <w:sz w:val="24"/>
          <w:szCs w:val="24"/>
        </w:rPr>
        <w:t xml:space="preserve"> as misconstrued by the Court.   </w:t>
      </w:r>
    </w:p>
    <w:p w14:paraId="4D9CE1F9" w14:textId="77777777" w:rsidR="000A2139" w:rsidRDefault="000A2139" w:rsidP="008B1659">
      <w:pPr>
        <w:spacing w:after="0" w:line="240" w:lineRule="auto"/>
        <w:rPr>
          <w:rFonts w:ascii="Times New Roman" w:hAnsi="Times New Roman" w:cs="Times New Roman"/>
          <w:sz w:val="24"/>
          <w:szCs w:val="24"/>
        </w:rPr>
      </w:pPr>
    </w:p>
    <w:p w14:paraId="1695DB3C" w14:textId="77777777" w:rsidR="000A2139" w:rsidRDefault="000A2139" w:rsidP="008B1659">
      <w:pPr>
        <w:spacing w:after="0" w:line="240" w:lineRule="auto"/>
        <w:rPr>
          <w:rFonts w:ascii="Times New Roman" w:hAnsi="Times New Roman" w:cs="Times New Roman"/>
          <w:sz w:val="24"/>
          <w:szCs w:val="24"/>
        </w:rPr>
      </w:pPr>
      <w:r w:rsidRPr="0070550C">
        <w:rPr>
          <w:rFonts w:ascii="Times New Roman" w:hAnsi="Times New Roman" w:cs="Times New Roman"/>
          <w:sz w:val="24"/>
          <w:szCs w:val="24"/>
        </w:rPr>
        <w:t>As discussed above in connection with the Court’s “circular flow of funds” analysis, PoolRe was clearly not “removed far from any actual risk” insured.</w:t>
      </w:r>
      <w:r>
        <w:rPr>
          <w:rFonts w:ascii="Times New Roman" w:hAnsi="Times New Roman" w:cs="Times New Roman"/>
          <w:sz w:val="24"/>
          <w:szCs w:val="24"/>
        </w:rPr>
        <w:t xml:space="preserve">  Additional evidence ignored by the Court that Reserve was not far removed from actual risks insured was the fact that l</w:t>
      </w:r>
      <w:r w:rsidRPr="0070550C">
        <w:rPr>
          <w:rFonts w:ascii="Times New Roman" w:hAnsi="Times New Roman" w:cs="Times New Roman"/>
          <w:sz w:val="24"/>
          <w:szCs w:val="24"/>
        </w:rPr>
        <w:t xml:space="preserve">osses </w:t>
      </w:r>
      <w:r>
        <w:rPr>
          <w:rFonts w:ascii="Times New Roman" w:hAnsi="Times New Roman" w:cs="Times New Roman"/>
          <w:sz w:val="24"/>
          <w:szCs w:val="24"/>
        </w:rPr>
        <w:t xml:space="preserve">were </w:t>
      </w:r>
      <w:r w:rsidRPr="0070550C">
        <w:rPr>
          <w:rFonts w:ascii="Times New Roman" w:hAnsi="Times New Roman" w:cs="Times New Roman"/>
          <w:sz w:val="24"/>
          <w:szCs w:val="24"/>
        </w:rPr>
        <w:t>actually paid by Reserve</w:t>
      </w:r>
      <w:r>
        <w:rPr>
          <w:rFonts w:ascii="Times New Roman" w:hAnsi="Times New Roman" w:cs="Times New Roman"/>
          <w:sz w:val="24"/>
          <w:szCs w:val="24"/>
        </w:rPr>
        <w:t xml:space="preserve"> (to both affiliates and third parties)</w:t>
      </w:r>
      <w:r w:rsidRPr="0070550C">
        <w:rPr>
          <w:rFonts w:ascii="Times New Roman" w:hAnsi="Times New Roman" w:cs="Times New Roman"/>
          <w:sz w:val="24"/>
          <w:szCs w:val="24"/>
        </w:rPr>
        <w:t xml:space="preserve"> in 2008 – 2010 </w:t>
      </w:r>
      <w:r>
        <w:rPr>
          <w:rFonts w:ascii="Times New Roman" w:hAnsi="Times New Roman" w:cs="Times New Roman"/>
          <w:sz w:val="24"/>
          <w:szCs w:val="24"/>
        </w:rPr>
        <w:t xml:space="preserve">for covered claims </w:t>
      </w:r>
      <w:r w:rsidRPr="0070550C">
        <w:rPr>
          <w:rFonts w:ascii="Times New Roman" w:hAnsi="Times New Roman" w:cs="Times New Roman"/>
          <w:sz w:val="24"/>
          <w:szCs w:val="24"/>
        </w:rPr>
        <w:t>totaled $</w:t>
      </w:r>
      <w:r>
        <w:rPr>
          <w:rFonts w:ascii="Times New Roman" w:hAnsi="Times New Roman" w:cs="Times New Roman"/>
          <w:sz w:val="24"/>
          <w:szCs w:val="24"/>
        </w:rPr>
        <w:t>527,711.99.</w:t>
      </w:r>
    </w:p>
    <w:p w14:paraId="0E08551B" w14:textId="77777777" w:rsidR="000A2139" w:rsidRDefault="000A2139" w:rsidP="00937FAB">
      <w:pPr>
        <w:spacing w:after="0" w:line="240" w:lineRule="auto"/>
        <w:rPr>
          <w:rFonts w:ascii="Times New Roman" w:hAnsi="Times New Roman" w:cs="Times New Roman"/>
          <w:sz w:val="24"/>
          <w:szCs w:val="24"/>
        </w:rPr>
      </w:pPr>
    </w:p>
    <w:p w14:paraId="047A322C" w14:textId="01D3E32F" w:rsidR="000A2139" w:rsidRDefault="000A2139" w:rsidP="009C500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testimony was that all of the direct written policies in the pool were </w:t>
      </w:r>
      <w:r w:rsidRPr="007B667D">
        <w:rPr>
          <w:rFonts w:ascii="Times New Roman" w:hAnsi="Times New Roman" w:cs="Times New Roman"/>
          <w:sz w:val="24"/>
          <w:szCs w:val="24"/>
        </w:rPr>
        <w:t xml:space="preserve">tailored to meet the needs of </w:t>
      </w:r>
      <w:r>
        <w:rPr>
          <w:rFonts w:ascii="Times New Roman" w:hAnsi="Times New Roman" w:cs="Times New Roman"/>
          <w:sz w:val="24"/>
          <w:szCs w:val="24"/>
        </w:rPr>
        <w:t xml:space="preserve">the insureds’ </w:t>
      </w:r>
      <w:r w:rsidRPr="007B667D">
        <w:rPr>
          <w:rFonts w:ascii="Times New Roman" w:hAnsi="Times New Roman" w:cs="Times New Roman"/>
          <w:sz w:val="24"/>
          <w:szCs w:val="24"/>
        </w:rPr>
        <w:t>business operations</w:t>
      </w:r>
      <w:r>
        <w:rPr>
          <w:rFonts w:ascii="Times New Roman" w:hAnsi="Times New Roman" w:cs="Times New Roman"/>
          <w:sz w:val="24"/>
          <w:szCs w:val="24"/>
        </w:rPr>
        <w:t xml:space="preserve">.  In the case of Reserve, these were addressing the risks associated with supplying, maintaining and rebuilding life safety equipment (ventilation and flood control) for workers 5,000-8,000 feet underground, and supplying </w:t>
      </w:r>
      <w:r w:rsidRPr="007B667D">
        <w:rPr>
          <w:rFonts w:ascii="Times New Roman" w:hAnsi="Times New Roman" w:cs="Times New Roman"/>
          <w:sz w:val="24"/>
          <w:szCs w:val="24"/>
        </w:rPr>
        <w:t xml:space="preserve">trucks </w:t>
      </w:r>
      <w:r>
        <w:rPr>
          <w:rFonts w:ascii="Times New Roman" w:hAnsi="Times New Roman" w:cs="Times New Roman"/>
          <w:sz w:val="24"/>
          <w:szCs w:val="24"/>
        </w:rPr>
        <w:t xml:space="preserve">manufactured by it for use </w:t>
      </w:r>
      <w:r w:rsidRPr="007B667D">
        <w:rPr>
          <w:rFonts w:ascii="Times New Roman" w:hAnsi="Times New Roman" w:cs="Times New Roman"/>
          <w:sz w:val="24"/>
          <w:szCs w:val="24"/>
        </w:rPr>
        <w:t>in underground mining operations</w:t>
      </w:r>
      <w:r>
        <w:rPr>
          <w:rFonts w:ascii="Times New Roman" w:hAnsi="Times New Roman" w:cs="Times New Roman"/>
          <w:sz w:val="24"/>
          <w:szCs w:val="24"/>
        </w:rPr>
        <w:t xml:space="preserve">, with the Peak insureds’ </w:t>
      </w:r>
      <w:r w:rsidRPr="007B667D">
        <w:rPr>
          <w:rFonts w:ascii="Times New Roman" w:hAnsi="Times New Roman" w:cs="Times New Roman"/>
          <w:sz w:val="24"/>
          <w:szCs w:val="24"/>
        </w:rPr>
        <w:t>manufacturing facilities</w:t>
      </w:r>
      <w:r>
        <w:rPr>
          <w:rFonts w:ascii="Times New Roman" w:hAnsi="Times New Roman" w:cs="Times New Roman"/>
          <w:sz w:val="24"/>
          <w:szCs w:val="24"/>
        </w:rPr>
        <w:t xml:space="preserve"> being physically located within a </w:t>
      </w:r>
      <w:r w:rsidRPr="007B667D">
        <w:rPr>
          <w:rFonts w:ascii="Times New Roman" w:hAnsi="Times New Roman" w:cs="Times New Roman"/>
          <w:sz w:val="24"/>
          <w:szCs w:val="24"/>
        </w:rPr>
        <w:t>“Superfund Site</w:t>
      </w:r>
      <w:r>
        <w:rPr>
          <w:rFonts w:ascii="Times New Roman" w:hAnsi="Times New Roman" w:cs="Times New Roman"/>
          <w:sz w:val="24"/>
          <w:szCs w:val="24"/>
        </w:rPr>
        <w:t>.</w:t>
      </w:r>
      <w:r w:rsidRPr="007B667D">
        <w:rPr>
          <w:rFonts w:ascii="Times New Roman" w:hAnsi="Times New Roman" w:cs="Times New Roman"/>
          <w:sz w:val="24"/>
          <w:szCs w:val="24"/>
        </w:rPr>
        <w:t>”</w:t>
      </w:r>
      <w:r>
        <w:rPr>
          <w:rFonts w:ascii="Times New Roman" w:hAnsi="Times New Roman" w:cs="Times New Roman"/>
          <w:sz w:val="24"/>
          <w:szCs w:val="24"/>
        </w:rPr>
        <w:t xml:space="preserve">  The table below shows the stark contrast between the risks pooled in </w:t>
      </w:r>
      <w:r w:rsidRPr="00683FBF">
        <w:rPr>
          <w:rFonts w:ascii="Times New Roman" w:hAnsi="Times New Roman" w:cs="Times New Roman"/>
          <w:i/>
          <w:sz w:val="24"/>
          <w:szCs w:val="24"/>
        </w:rPr>
        <w:t>Avrahami</w:t>
      </w:r>
      <w:r>
        <w:rPr>
          <w:rFonts w:ascii="Times New Roman" w:hAnsi="Times New Roman" w:cs="Times New Roman"/>
          <w:sz w:val="24"/>
          <w:szCs w:val="24"/>
        </w:rPr>
        <w:t xml:space="preserve"> as compared to the diverse range of risks pooled in </w:t>
      </w:r>
      <w:r w:rsidRPr="00683FBF">
        <w:rPr>
          <w:rFonts w:ascii="Times New Roman" w:hAnsi="Times New Roman" w:cs="Times New Roman"/>
          <w:i/>
          <w:sz w:val="24"/>
          <w:szCs w:val="24"/>
        </w:rPr>
        <w:t>Reserve</w:t>
      </w:r>
      <w:r>
        <w:rPr>
          <w:rFonts w:ascii="Times New Roman" w:hAnsi="Times New Roman" w:cs="Times New Roman"/>
          <w:sz w:val="24"/>
          <w:szCs w:val="24"/>
        </w:rPr>
        <w:t>:</w:t>
      </w:r>
    </w:p>
    <w:p w14:paraId="38BF212C" w14:textId="1553B080" w:rsidR="0016364E" w:rsidRDefault="0016364E" w:rsidP="009C5003">
      <w:pPr>
        <w:spacing w:after="0" w:line="240" w:lineRule="auto"/>
        <w:rPr>
          <w:rFonts w:ascii="Times New Roman" w:hAnsi="Times New Roman" w:cs="Times New Roman"/>
          <w:sz w:val="24"/>
          <w:szCs w:val="24"/>
        </w:rPr>
      </w:pPr>
    </w:p>
    <w:p w14:paraId="46A6E9E1" w14:textId="0C672C3E" w:rsidR="0016364E" w:rsidRDefault="0016364E" w:rsidP="009C5003">
      <w:pPr>
        <w:spacing w:after="0" w:line="240" w:lineRule="auto"/>
        <w:rPr>
          <w:rFonts w:ascii="Times New Roman" w:hAnsi="Times New Roman" w:cs="Times New Roman"/>
          <w:sz w:val="24"/>
          <w:szCs w:val="24"/>
        </w:rPr>
      </w:pPr>
    </w:p>
    <w:p w14:paraId="6D18EF48" w14:textId="70A0962A" w:rsidR="0016364E" w:rsidRDefault="0016364E" w:rsidP="009C5003">
      <w:pPr>
        <w:spacing w:after="0" w:line="240" w:lineRule="auto"/>
        <w:rPr>
          <w:rFonts w:ascii="Times New Roman" w:hAnsi="Times New Roman" w:cs="Times New Roman"/>
          <w:sz w:val="24"/>
          <w:szCs w:val="24"/>
        </w:rPr>
      </w:pPr>
    </w:p>
    <w:p w14:paraId="5BADB095" w14:textId="77777777" w:rsidR="0016364E" w:rsidRDefault="0016364E" w:rsidP="009C5003">
      <w:pPr>
        <w:spacing w:after="0" w:line="240" w:lineRule="auto"/>
        <w:rPr>
          <w:rFonts w:ascii="Times New Roman" w:hAnsi="Times New Roman" w:cs="Times New Roman"/>
          <w:sz w:val="24"/>
          <w:szCs w:val="24"/>
        </w:rPr>
      </w:pPr>
    </w:p>
    <w:p w14:paraId="0473AF71" w14:textId="77777777" w:rsidR="000A2139" w:rsidRDefault="000A2139" w:rsidP="009C5003">
      <w:pPr>
        <w:spacing w:after="0" w:line="240" w:lineRule="auto"/>
        <w:rPr>
          <w:rFonts w:ascii="Times New Roman" w:hAnsi="Times New Roman" w:cs="Times New Roman"/>
          <w:sz w:val="24"/>
          <w:szCs w:val="24"/>
        </w:rPr>
      </w:pPr>
    </w:p>
    <w:tbl>
      <w:tblPr>
        <w:tblStyle w:val="TableGrid"/>
        <w:tblW w:w="9355" w:type="dxa"/>
        <w:tblInd w:w="-5" w:type="dxa"/>
        <w:tblLook w:val="04A0" w:firstRow="1" w:lastRow="0" w:firstColumn="1" w:lastColumn="0" w:noHBand="0" w:noVBand="1"/>
      </w:tblPr>
      <w:tblGrid>
        <w:gridCol w:w="2070"/>
        <w:gridCol w:w="7285"/>
      </w:tblGrid>
      <w:tr w:rsidR="000A2139" w:rsidRPr="00C148AB" w14:paraId="5559B24C" w14:textId="77777777" w:rsidTr="0005151C">
        <w:tc>
          <w:tcPr>
            <w:tcW w:w="9355" w:type="dxa"/>
            <w:gridSpan w:val="2"/>
          </w:tcPr>
          <w:p w14:paraId="651E4569" w14:textId="77777777" w:rsidR="000A2139" w:rsidRPr="00127EFE" w:rsidRDefault="000A2139" w:rsidP="0005151C">
            <w:pPr>
              <w:jc w:val="center"/>
              <w:rPr>
                <w:rFonts w:ascii="Times New Roman" w:hAnsi="Times New Roman" w:cs="Times New Roman"/>
                <w:b/>
                <w:sz w:val="32"/>
                <w:szCs w:val="32"/>
              </w:rPr>
            </w:pPr>
            <w:r w:rsidRPr="00127EFE">
              <w:rPr>
                <w:rFonts w:ascii="Times New Roman" w:hAnsi="Times New Roman" w:cs="Times New Roman"/>
                <w:b/>
                <w:sz w:val="32"/>
                <w:szCs w:val="32"/>
              </w:rPr>
              <w:lastRenderedPageBreak/>
              <w:t>Pooled Risks</w:t>
            </w:r>
          </w:p>
        </w:tc>
      </w:tr>
      <w:tr w:rsidR="000A2139" w:rsidRPr="00C148AB" w14:paraId="6F19AD23" w14:textId="77777777" w:rsidTr="0005151C">
        <w:tc>
          <w:tcPr>
            <w:tcW w:w="2070" w:type="dxa"/>
          </w:tcPr>
          <w:p w14:paraId="6D19EFB0" w14:textId="77777777" w:rsidR="000A2139" w:rsidRPr="00E86C56" w:rsidRDefault="000A2139" w:rsidP="0005151C">
            <w:pPr>
              <w:jc w:val="center"/>
              <w:rPr>
                <w:rFonts w:ascii="Times New Roman" w:hAnsi="Times New Roman" w:cs="Times New Roman"/>
                <w:b/>
                <w:i/>
                <w:sz w:val="24"/>
                <w:szCs w:val="24"/>
              </w:rPr>
            </w:pPr>
            <w:r w:rsidRPr="00E86C56">
              <w:rPr>
                <w:rFonts w:ascii="Times New Roman" w:hAnsi="Times New Roman" w:cs="Times New Roman"/>
                <w:b/>
                <w:i/>
                <w:sz w:val="24"/>
                <w:szCs w:val="24"/>
              </w:rPr>
              <w:t>Avrahami</w:t>
            </w:r>
          </w:p>
        </w:tc>
        <w:tc>
          <w:tcPr>
            <w:tcW w:w="7285" w:type="dxa"/>
          </w:tcPr>
          <w:p w14:paraId="170D2A3A" w14:textId="77777777" w:rsidR="000A2139" w:rsidRPr="00E04051" w:rsidRDefault="000A2139" w:rsidP="00E04051">
            <w:pPr>
              <w:jc w:val="center"/>
              <w:rPr>
                <w:rFonts w:ascii="Times New Roman" w:hAnsi="Times New Roman" w:cs="Times New Roman"/>
                <w:b/>
                <w:i/>
                <w:sz w:val="24"/>
                <w:szCs w:val="24"/>
              </w:rPr>
            </w:pPr>
            <w:r w:rsidRPr="00E86C56">
              <w:rPr>
                <w:rFonts w:ascii="Times New Roman" w:hAnsi="Times New Roman" w:cs="Times New Roman"/>
                <w:b/>
                <w:i/>
                <w:sz w:val="24"/>
                <w:szCs w:val="24"/>
              </w:rPr>
              <w:t>Reserve</w:t>
            </w:r>
          </w:p>
        </w:tc>
      </w:tr>
      <w:tr w:rsidR="000A2139" w:rsidRPr="00C148AB" w14:paraId="72D6450B" w14:textId="77777777" w:rsidTr="0005151C">
        <w:trPr>
          <w:trHeight w:val="1520"/>
        </w:trPr>
        <w:tc>
          <w:tcPr>
            <w:tcW w:w="2070" w:type="dxa"/>
          </w:tcPr>
          <w:p w14:paraId="47140F27" w14:textId="77777777" w:rsidR="000A2139" w:rsidRPr="00E248FD" w:rsidRDefault="000A2139" w:rsidP="0005151C">
            <w:pPr>
              <w:rPr>
                <w:rFonts w:ascii="Times New Roman" w:hAnsi="Times New Roman" w:cs="Times New Roman"/>
              </w:rPr>
            </w:pPr>
            <w:r w:rsidRPr="00E248FD">
              <w:rPr>
                <w:rFonts w:ascii="Times New Roman" w:hAnsi="Times New Roman" w:cs="Times New Roman"/>
              </w:rPr>
              <w:t xml:space="preserve">Terrorism </w:t>
            </w:r>
            <w:r>
              <w:rPr>
                <w:rFonts w:ascii="Times New Roman" w:hAnsi="Times New Roman" w:cs="Times New Roman"/>
              </w:rPr>
              <w:t>coverage for three jewelry stores located in suburban Phoenix.</w:t>
            </w:r>
          </w:p>
        </w:tc>
        <w:tc>
          <w:tcPr>
            <w:tcW w:w="7285" w:type="dxa"/>
          </w:tcPr>
          <w:p w14:paraId="67961352" w14:textId="77777777" w:rsidR="000A2139" w:rsidRDefault="000A2139" w:rsidP="0005151C">
            <w:pPr>
              <w:rPr>
                <w:rFonts w:ascii="Times New Roman" w:hAnsi="Times New Roman" w:cs="Times New Roman"/>
              </w:rPr>
            </w:pPr>
            <w:r>
              <w:rPr>
                <w:rFonts w:ascii="Times New Roman" w:hAnsi="Times New Roman" w:cs="Times New Roman"/>
              </w:rPr>
              <w:t xml:space="preserve">All of Reserve’s direct written policies (shown below) </w:t>
            </w:r>
            <w:r w:rsidRPr="00DA4C57">
              <w:rPr>
                <w:rFonts w:ascii="Times New Roman" w:hAnsi="Times New Roman" w:cs="Times New Roman"/>
                <w:u w:val="single"/>
              </w:rPr>
              <w:t>w</w:t>
            </w:r>
            <w:r>
              <w:rPr>
                <w:rFonts w:ascii="Times New Roman" w:hAnsi="Times New Roman" w:cs="Times New Roman"/>
                <w:u w:val="single"/>
              </w:rPr>
              <w:t>ere</w:t>
            </w:r>
            <w:r w:rsidRPr="00DA4C57">
              <w:rPr>
                <w:rFonts w:ascii="Times New Roman" w:hAnsi="Times New Roman" w:cs="Times New Roman"/>
                <w:u w:val="single"/>
              </w:rPr>
              <w:t xml:space="preserve"> jointly underwritten by both Reserve and PoolRe</w:t>
            </w:r>
            <w:r>
              <w:rPr>
                <w:rFonts w:ascii="Times New Roman" w:hAnsi="Times New Roman" w:cs="Times New Roman"/>
                <w:u w:val="single"/>
              </w:rPr>
              <w:t>, with PoolRe then ceding its coverage among 58 unaffiliated insurers.</w:t>
            </w:r>
          </w:p>
          <w:p w14:paraId="03702DEC" w14:textId="77777777" w:rsidR="000A2139" w:rsidRDefault="000A2139" w:rsidP="0005151C">
            <w:pPr>
              <w:rPr>
                <w:rFonts w:ascii="Times New Roman" w:hAnsi="Times New Roman" w:cs="Times New Roman"/>
              </w:rPr>
            </w:pPr>
          </w:p>
          <w:p w14:paraId="019E7740" w14:textId="77777777" w:rsidR="000A2139" w:rsidRDefault="000A2139" w:rsidP="0005151C">
            <w:pPr>
              <w:rPr>
                <w:rFonts w:ascii="Times New Roman" w:hAnsi="Times New Roman" w:cs="Times New Roman"/>
              </w:rPr>
            </w:pPr>
            <w:r w:rsidRPr="00E248FD">
              <w:rPr>
                <w:rFonts w:ascii="Times New Roman" w:hAnsi="Times New Roman" w:cs="Times New Roman"/>
              </w:rPr>
              <w:t>Product Recall</w:t>
            </w:r>
          </w:p>
          <w:p w14:paraId="375194CA" w14:textId="77777777" w:rsidR="000A2139" w:rsidRPr="00E248FD" w:rsidRDefault="000A2139" w:rsidP="0005151C">
            <w:pPr>
              <w:rPr>
                <w:rFonts w:ascii="Times New Roman" w:hAnsi="Times New Roman" w:cs="Times New Roman"/>
              </w:rPr>
            </w:pPr>
            <w:r w:rsidRPr="00E248FD">
              <w:rPr>
                <w:rFonts w:ascii="Times New Roman" w:hAnsi="Times New Roman" w:cs="Times New Roman"/>
              </w:rPr>
              <w:t>Loss of Major Customer</w:t>
            </w:r>
          </w:p>
          <w:p w14:paraId="4FC5C840" w14:textId="77777777" w:rsidR="000A2139" w:rsidRPr="00E248FD" w:rsidRDefault="000A2139" w:rsidP="0005151C">
            <w:pPr>
              <w:rPr>
                <w:rFonts w:ascii="Times New Roman" w:hAnsi="Times New Roman" w:cs="Times New Roman"/>
              </w:rPr>
            </w:pPr>
            <w:r w:rsidRPr="00E248FD">
              <w:rPr>
                <w:rFonts w:ascii="Times New Roman" w:hAnsi="Times New Roman" w:cs="Times New Roman"/>
              </w:rPr>
              <w:t>Intellectual Property Package</w:t>
            </w:r>
          </w:p>
          <w:p w14:paraId="71A00D66" w14:textId="77777777" w:rsidR="000A2139" w:rsidRPr="00E248FD" w:rsidRDefault="000A2139" w:rsidP="0005151C">
            <w:pPr>
              <w:rPr>
                <w:rFonts w:ascii="Times New Roman" w:hAnsi="Times New Roman" w:cs="Times New Roman"/>
              </w:rPr>
            </w:pPr>
            <w:r w:rsidRPr="00E248FD">
              <w:rPr>
                <w:rFonts w:ascii="Times New Roman" w:hAnsi="Times New Roman" w:cs="Times New Roman"/>
              </w:rPr>
              <w:t>Regulatory Changes</w:t>
            </w:r>
          </w:p>
          <w:p w14:paraId="242EED34" w14:textId="77777777" w:rsidR="000A2139" w:rsidRPr="00E248FD" w:rsidRDefault="000A2139" w:rsidP="0005151C">
            <w:pPr>
              <w:rPr>
                <w:rFonts w:ascii="Times New Roman" w:hAnsi="Times New Roman" w:cs="Times New Roman"/>
              </w:rPr>
            </w:pPr>
            <w:r w:rsidRPr="00E248FD">
              <w:rPr>
                <w:rFonts w:ascii="Times New Roman" w:hAnsi="Times New Roman" w:cs="Times New Roman"/>
              </w:rPr>
              <w:t>Expense Reimbursement</w:t>
            </w:r>
          </w:p>
          <w:p w14:paraId="374EB424" w14:textId="77777777" w:rsidR="000A2139" w:rsidRPr="00E248FD" w:rsidRDefault="000A2139" w:rsidP="0005151C">
            <w:pPr>
              <w:rPr>
                <w:rFonts w:ascii="Times New Roman" w:hAnsi="Times New Roman" w:cs="Times New Roman"/>
              </w:rPr>
            </w:pPr>
            <w:r w:rsidRPr="00E248FD">
              <w:rPr>
                <w:rFonts w:ascii="Times New Roman" w:hAnsi="Times New Roman" w:cs="Times New Roman"/>
              </w:rPr>
              <w:t>Loss of Services</w:t>
            </w:r>
          </w:p>
          <w:p w14:paraId="61619128" w14:textId="77777777" w:rsidR="000A2139" w:rsidRPr="00E248FD" w:rsidRDefault="000A2139" w:rsidP="0005151C">
            <w:pPr>
              <w:rPr>
                <w:rFonts w:ascii="Times New Roman" w:hAnsi="Times New Roman" w:cs="Times New Roman"/>
              </w:rPr>
            </w:pPr>
            <w:r w:rsidRPr="00E248FD">
              <w:rPr>
                <w:rFonts w:ascii="Times New Roman" w:hAnsi="Times New Roman" w:cs="Times New Roman"/>
              </w:rPr>
              <w:t>Weather Related Business Interruptio</w:t>
            </w:r>
            <w:r>
              <w:rPr>
                <w:rFonts w:ascii="Times New Roman" w:hAnsi="Times New Roman" w:cs="Times New Roman"/>
              </w:rPr>
              <w:t>n</w:t>
            </w:r>
          </w:p>
          <w:p w14:paraId="770AA1B1" w14:textId="77777777" w:rsidR="000A2139" w:rsidRPr="00E248FD" w:rsidRDefault="000A2139" w:rsidP="0005151C">
            <w:pPr>
              <w:rPr>
                <w:rFonts w:ascii="Times New Roman" w:hAnsi="Times New Roman" w:cs="Times New Roman"/>
              </w:rPr>
            </w:pPr>
            <w:r w:rsidRPr="00E248FD">
              <w:rPr>
                <w:rFonts w:ascii="Times New Roman" w:hAnsi="Times New Roman" w:cs="Times New Roman"/>
              </w:rPr>
              <w:t>Pollution Liability</w:t>
            </w:r>
          </w:p>
          <w:p w14:paraId="6DE9EE4C" w14:textId="77777777" w:rsidR="000A2139" w:rsidRPr="00E248FD" w:rsidRDefault="000A2139" w:rsidP="0005151C">
            <w:pPr>
              <w:rPr>
                <w:rFonts w:ascii="Times New Roman" w:hAnsi="Times New Roman" w:cs="Times New Roman"/>
              </w:rPr>
            </w:pPr>
            <w:r w:rsidRPr="00E248FD">
              <w:rPr>
                <w:rFonts w:ascii="Times New Roman" w:hAnsi="Times New Roman" w:cs="Times New Roman"/>
              </w:rPr>
              <w:t>Tax Liability</w:t>
            </w:r>
          </w:p>
          <w:p w14:paraId="4267C222" w14:textId="77777777" w:rsidR="000A2139" w:rsidRPr="00E248FD" w:rsidRDefault="000A2139" w:rsidP="0005151C">
            <w:pPr>
              <w:rPr>
                <w:rFonts w:ascii="Times New Roman" w:hAnsi="Times New Roman" w:cs="Times New Roman"/>
              </w:rPr>
            </w:pPr>
            <w:r w:rsidRPr="00E248FD">
              <w:rPr>
                <w:rFonts w:ascii="Times New Roman" w:hAnsi="Times New Roman" w:cs="Times New Roman"/>
              </w:rPr>
              <w:t>Directors &amp; Officers Liability</w:t>
            </w:r>
          </w:p>
          <w:p w14:paraId="218F7B2E" w14:textId="77777777" w:rsidR="000A2139" w:rsidRPr="00E248FD" w:rsidRDefault="000A2139" w:rsidP="0005151C">
            <w:pPr>
              <w:rPr>
                <w:rFonts w:ascii="Times New Roman" w:hAnsi="Times New Roman" w:cs="Times New Roman"/>
              </w:rPr>
            </w:pPr>
            <w:r w:rsidRPr="00E248FD">
              <w:rPr>
                <w:rFonts w:ascii="Times New Roman" w:hAnsi="Times New Roman" w:cs="Times New Roman"/>
              </w:rPr>
              <w:t>Punitive Wrap</w:t>
            </w:r>
          </w:p>
          <w:p w14:paraId="18754B9C" w14:textId="77777777" w:rsidR="000A2139" w:rsidRPr="00E248FD" w:rsidRDefault="000A2139" w:rsidP="0005151C">
            <w:pPr>
              <w:rPr>
                <w:rFonts w:ascii="Times New Roman" w:hAnsi="Times New Roman" w:cs="Times New Roman"/>
              </w:rPr>
            </w:pPr>
            <w:r w:rsidRPr="00E248FD">
              <w:rPr>
                <w:rFonts w:ascii="Times New Roman" w:hAnsi="Times New Roman" w:cs="Times New Roman"/>
              </w:rPr>
              <w:t>Employment Practices Liability</w:t>
            </w:r>
          </w:p>
          <w:p w14:paraId="66E2667A" w14:textId="77777777" w:rsidR="000A2139" w:rsidRPr="00E248FD" w:rsidRDefault="000A2139" w:rsidP="0005151C">
            <w:pPr>
              <w:rPr>
                <w:rFonts w:ascii="Times New Roman" w:hAnsi="Times New Roman" w:cs="Times New Roman"/>
              </w:rPr>
            </w:pPr>
            <w:r w:rsidRPr="00E248FD">
              <w:rPr>
                <w:rFonts w:ascii="Times New Roman" w:hAnsi="Times New Roman" w:cs="Times New Roman"/>
              </w:rPr>
              <w:t>Cyber Risk</w:t>
            </w:r>
          </w:p>
          <w:p w14:paraId="1682491D" w14:textId="77777777" w:rsidR="000A2139" w:rsidRPr="00E248FD" w:rsidRDefault="000A2139" w:rsidP="0005151C">
            <w:pPr>
              <w:rPr>
                <w:rFonts w:ascii="Times New Roman" w:hAnsi="Times New Roman" w:cs="Times New Roman"/>
              </w:rPr>
            </w:pPr>
            <w:r w:rsidRPr="00E248FD">
              <w:rPr>
                <w:rFonts w:ascii="Times New Roman" w:hAnsi="Times New Roman" w:cs="Times New Roman"/>
              </w:rPr>
              <w:t>Legal Expense Reimbursement</w:t>
            </w:r>
          </w:p>
          <w:p w14:paraId="1F3B9B81" w14:textId="77777777" w:rsidR="000A2139" w:rsidRDefault="000A2139" w:rsidP="0005151C">
            <w:pPr>
              <w:rPr>
                <w:rFonts w:ascii="Times New Roman" w:hAnsi="Times New Roman" w:cs="Times New Roman"/>
              </w:rPr>
            </w:pPr>
          </w:p>
          <w:p w14:paraId="4CC95FA8" w14:textId="77777777" w:rsidR="000A2139" w:rsidRPr="009C5003" w:rsidRDefault="000A2139" w:rsidP="0005151C">
            <w:pPr>
              <w:rPr>
                <w:rFonts w:ascii="Times New Roman" w:hAnsi="Times New Roman" w:cs="Times New Roman"/>
                <w:b/>
              </w:rPr>
            </w:pPr>
            <w:r w:rsidRPr="009C5003">
              <w:rPr>
                <w:rFonts w:ascii="Times New Roman" w:hAnsi="Times New Roman" w:cs="Times New Roman"/>
                <w:b/>
              </w:rPr>
              <w:t>Additionally, Reserve assumed the risks of 650</w:t>
            </w:r>
            <w:r>
              <w:rPr>
                <w:rFonts w:ascii="Times New Roman" w:hAnsi="Times New Roman" w:cs="Times New Roman"/>
                <w:b/>
              </w:rPr>
              <w:t>+</w:t>
            </w:r>
            <w:r w:rsidRPr="009C5003">
              <w:rPr>
                <w:rFonts w:ascii="Times New Roman" w:hAnsi="Times New Roman" w:cs="Times New Roman"/>
                <w:b/>
              </w:rPr>
              <w:t xml:space="preserve"> policies covering 200</w:t>
            </w:r>
            <w:r>
              <w:rPr>
                <w:rFonts w:ascii="Times New Roman" w:hAnsi="Times New Roman" w:cs="Times New Roman"/>
                <w:b/>
              </w:rPr>
              <w:t>+</w:t>
            </w:r>
            <w:r w:rsidRPr="009C5003">
              <w:rPr>
                <w:rFonts w:ascii="Times New Roman" w:hAnsi="Times New Roman" w:cs="Times New Roman"/>
                <w:b/>
              </w:rPr>
              <w:t xml:space="preserve"> unaffiliated insureds (2010</w:t>
            </w:r>
            <w:r>
              <w:rPr>
                <w:rFonts w:ascii="Times New Roman" w:hAnsi="Times New Roman" w:cs="Times New Roman"/>
                <w:b/>
              </w:rPr>
              <w:t xml:space="preserve">). </w:t>
            </w:r>
            <w:r w:rsidRPr="009C5003">
              <w:rPr>
                <w:rFonts w:ascii="Times New Roman" w:hAnsi="Times New Roman" w:cs="Times New Roman"/>
                <w:b/>
              </w:rPr>
              <w:t xml:space="preserve"> </w:t>
            </w:r>
          </w:p>
          <w:p w14:paraId="646787EC" w14:textId="77777777" w:rsidR="000A2139" w:rsidRPr="00E248FD" w:rsidRDefault="000A2139" w:rsidP="0005151C">
            <w:pPr>
              <w:rPr>
                <w:rFonts w:ascii="Times New Roman" w:hAnsi="Times New Roman" w:cs="Times New Roman"/>
              </w:rPr>
            </w:pPr>
          </w:p>
        </w:tc>
      </w:tr>
    </w:tbl>
    <w:p w14:paraId="2123AECF" w14:textId="77777777" w:rsidR="000A2139" w:rsidRDefault="000A2139" w:rsidP="00937FAB">
      <w:pPr>
        <w:spacing w:after="0" w:line="240" w:lineRule="auto"/>
        <w:rPr>
          <w:rFonts w:ascii="Times New Roman" w:hAnsi="Times New Roman" w:cs="Times New Roman"/>
          <w:sz w:val="24"/>
          <w:szCs w:val="24"/>
        </w:rPr>
      </w:pPr>
    </w:p>
    <w:p w14:paraId="70F5FFC2" w14:textId="1AD4607A" w:rsidR="000A2139" w:rsidRDefault="000A2139" w:rsidP="00937FA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Court’s conclusion that </w:t>
      </w:r>
      <w:r w:rsidRPr="00B75E57">
        <w:rPr>
          <w:rFonts w:ascii="Times New Roman" w:hAnsi="Times New Roman" w:cs="Times New Roman"/>
          <w:sz w:val="24"/>
          <w:szCs w:val="24"/>
        </w:rPr>
        <w:t xml:space="preserve">PoolRe </w:t>
      </w:r>
      <w:r>
        <w:rPr>
          <w:rFonts w:ascii="Times New Roman" w:hAnsi="Times New Roman" w:cs="Times New Roman"/>
          <w:sz w:val="24"/>
          <w:szCs w:val="24"/>
        </w:rPr>
        <w:t>“</w:t>
      </w:r>
      <w:r w:rsidRPr="00B75E57">
        <w:rPr>
          <w:rFonts w:ascii="Times New Roman" w:hAnsi="Times New Roman" w:cs="Times New Roman"/>
          <w:sz w:val="24"/>
          <w:szCs w:val="24"/>
        </w:rPr>
        <w:t>was removed far from any actual risk associated with the business or operations of Reserve</w:t>
      </w:r>
      <w:r>
        <w:rPr>
          <w:rFonts w:ascii="Times New Roman" w:hAnsi="Times New Roman" w:cs="Times New Roman"/>
          <w:sz w:val="24"/>
          <w:szCs w:val="24"/>
        </w:rPr>
        <w:t>’</w:t>
      </w:r>
      <w:r w:rsidRPr="00B75E57">
        <w:rPr>
          <w:rFonts w:ascii="Times New Roman" w:hAnsi="Times New Roman" w:cs="Times New Roman"/>
          <w:sz w:val="24"/>
          <w:szCs w:val="24"/>
        </w:rPr>
        <w:t>s insureds</w:t>
      </w:r>
      <w:r>
        <w:rPr>
          <w:rFonts w:ascii="Times New Roman" w:hAnsi="Times New Roman" w:cs="Times New Roman"/>
          <w:sz w:val="24"/>
          <w:szCs w:val="24"/>
        </w:rPr>
        <w:t>” was clearly erroneous and unsupported by the terms of the policies in evidence.  To be sure, the Court’s conclusion cannot be explained by the testimony.  Further, the Court’s arbitrary conclusion is at odds with its own conclusion that each of the policies at issue were actuarily calculated and objective determined.</w:t>
      </w:r>
    </w:p>
    <w:p w14:paraId="28619709" w14:textId="77777777" w:rsidR="000A2139" w:rsidRDefault="000A2139" w:rsidP="00597506">
      <w:pPr>
        <w:spacing w:after="0" w:line="240" w:lineRule="auto"/>
        <w:rPr>
          <w:rFonts w:ascii="Times New Roman" w:hAnsi="Times New Roman" w:cs="Times New Roman"/>
          <w:sz w:val="24"/>
          <w:szCs w:val="24"/>
        </w:rPr>
      </w:pPr>
    </w:p>
    <w:p w14:paraId="42EBFAED" w14:textId="77777777" w:rsidR="000A2139" w:rsidRPr="009733B7" w:rsidRDefault="000A2139" w:rsidP="009733B7">
      <w:pPr>
        <w:pStyle w:val="Heading3"/>
        <w:spacing w:before="0" w:line="240" w:lineRule="auto"/>
        <w:rPr>
          <w:rFonts w:ascii="Times New Roman" w:hAnsi="Times New Roman" w:cs="Times New Roman"/>
          <w:b/>
          <w:color w:val="auto"/>
        </w:rPr>
      </w:pPr>
      <w:bookmarkStart w:id="38" w:name="_Toc534366180"/>
      <w:r w:rsidRPr="009733B7">
        <w:rPr>
          <w:rFonts w:ascii="Times New Roman" w:hAnsi="Times New Roman" w:cs="Times New Roman"/>
          <w:b/>
          <w:color w:val="auto"/>
        </w:rPr>
        <w:t>5.  Licensed and Regulated as an Insurance Company</w:t>
      </w:r>
      <w:bookmarkEnd w:id="38"/>
    </w:p>
    <w:p w14:paraId="72063AF3" w14:textId="77777777" w:rsidR="000A2139" w:rsidRDefault="000A2139" w:rsidP="00597506">
      <w:pPr>
        <w:spacing w:after="0" w:line="240" w:lineRule="auto"/>
        <w:rPr>
          <w:rFonts w:ascii="Times New Roman" w:hAnsi="Times New Roman" w:cs="Times New Roman"/>
          <w:sz w:val="24"/>
          <w:szCs w:val="24"/>
        </w:rPr>
      </w:pPr>
    </w:p>
    <w:p w14:paraId="741068D8" w14:textId="025A758E" w:rsidR="000A2139" w:rsidRDefault="000A2139" w:rsidP="00597506">
      <w:pPr>
        <w:spacing w:after="0" w:line="240" w:lineRule="auto"/>
        <w:rPr>
          <w:rFonts w:ascii="Times New Roman" w:hAnsi="Times New Roman" w:cs="Times New Roman"/>
          <w:sz w:val="24"/>
          <w:szCs w:val="24"/>
        </w:rPr>
      </w:pPr>
      <w:r>
        <w:rPr>
          <w:rFonts w:ascii="Times New Roman" w:hAnsi="Times New Roman" w:cs="Times New Roman"/>
          <w:sz w:val="24"/>
          <w:szCs w:val="24"/>
        </w:rPr>
        <w:t>The Court dismissed the uncontroverted testimony of two separate witnesses in stating that PoolRe “did not provide evidence that it was a licensed and regulated insurer before [it redomiciled in Anguilla starting on April 15, 2009].”</w:t>
      </w:r>
      <w:r>
        <w:rPr>
          <w:rStyle w:val="EndnoteReference"/>
          <w:rFonts w:ascii="Times New Roman" w:hAnsi="Times New Roman" w:cs="Times New Roman"/>
          <w:sz w:val="24"/>
          <w:szCs w:val="24"/>
        </w:rPr>
        <w:endnoteReference w:id="119"/>
      </w:r>
      <w:r>
        <w:rPr>
          <w:rFonts w:ascii="Times New Roman" w:hAnsi="Times New Roman" w:cs="Times New Roman"/>
          <w:sz w:val="24"/>
          <w:szCs w:val="24"/>
        </w:rPr>
        <w:t xml:space="preserve">  This was one of the many conclusions drawn </w:t>
      </w:r>
      <w:r w:rsidRPr="001B09FA">
        <w:rPr>
          <w:rFonts w:ascii="Times New Roman" w:hAnsi="Times New Roman" w:cs="Times New Roman"/>
          <w:i/>
          <w:sz w:val="24"/>
          <w:szCs w:val="24"/>
        </w:rPr>
        <w:t>sua sponte</w:t>
      </w:r>
      <w:r>
        <w:rPr>
          <w:rFonts w:ascii="Times New Roman" w:hAnsi="Times New Roman" w:cs="Times New Roman"/>
          <w:sz w:val="24"/>
          <w:szCs w:val="24"/>
        </w:rPr>
        <w:t xml:space="preserve"> by the Court throughout </w:t>
      </w:r>
      <w:r w:rsidRPr="004D10F7">
        <w:rPr>
          <w:rFonts w:ascii="Times New Roman" w:hAnsi="Times New Roman" w:cs="Times New Roman"/>
          <w:sz w:val="24"/>
          <w:szCs w:val="24"/>
        </w:rPr>
        <w:t>the Opinion, which was not based on any evidence presented at trial or issues in controversy.  As discussed at pag</w:t>
      </w:r>
      <w:r w:rsidR="0062263C">
        <w:rPr>
          <w:rFonts w:ascii="Times New Roman" w:hAnsi="Times New Roman" w:cs="Times New Roman"/>
          <w:sz w:val="24"/>
          <w:szCs w:val="24"/>
        </w:rPr>
        <w:t>e 18</w:t>
      </w:r>
      <w:r w:rsidR="00CF20FB">
        <w:rPr>
          <w:rFonts w:ascii="Times New Roman" w:hAnsi="Times New Roman" w:cs="Times New Roman"/>
          <w:sz w:val="24"/>
          <w:szCs w:val="24"/>
        </w:rPr>
        <w:t xml:space="preserve"> above</w:t>
      </w:r>
      <w:r w:rsidRPr="004D10F7">
        <w:rPr>
          <w:rFonts w:ascii="Times New Roman" w:hAnsi="Times New Roman" w:cs="Times New Roman"/>
          <w:sz w:val="24"/>
          <w:szCs w:val="24"/>
        </w:rPr>
        <w:t>,</w:t>
      </w:r>
      <w:r w:rsidRPr="004D10F7">
        <w:rPr>
          <w:rStyle w:val="EndnoteReference"/>
          <w:rFonts w:ascii="Times New Roman" w:hAnsi="Times New Roman" w:cs="Times New Roman"/>
          <w:sz w:val="24"/>
          <w:szCs w:val="24"/>
        </w:rPr>
        <w:endnoteReference w:id="120"/>
      </w:r>
      <w:r>
        <w:rPr>
          <w:rFonts w:ascii="Times New Roman" w:hAnsi="Times New Roman" w:cs="Times New Roman"/>
          <w:sz w:val="24"/>
          <w:szCs w:val="24"/>
        </w:rPr>
        <w:t xml:space="preserve"> </w:t>
      </w:r>
      <w:r w:rsidRPr="004D10F7">
        <w:rPr>
          <w:rFonts w:ascii="Times New Roman" w:hAnsi="Times New Roman" w:cs="Times New Roman"/>
          <w:sz w:val="24"/>
          <w:szCs w:val="24"/>
        </w:rPr>
        <w:t>PoolRe was a fully</w:t>
      </w:r>
      <w:r>
        <w:rPr>
          <w:rFonts w:ascii="Times New Roman" w:hAnsi="Times New Roman" w:cs="Times New Roman"/>
          <w:sz w:val="24"/>
          <w:szCs w:val="24"/>
        </w:rPr>
        <w:t xml:space="preserve"> licensed and regulated insurance company for all years at issue, and the testimony of two witnesses at trial confirmed this fact, with the government offering no contrary evidence.  Again, the Court was clearly erroneous in its conclusions.</w:t>
      </w:r>
    </w:p>
    <w:p w14:paraId="34932E51" w14:textId="77777777" w:rsidR="000A2139" w:rsidRDefault="000A2139" w:rsidP="00542B01">
      <w:pPr>
        <w:spacing w:after="0" w:line="240" w:lineRule="auto"/>
        <w:rPr>
          <w:rFonts w:ascii="Times New Roman" w:hAnsi="Times New Roman" w:cs="Times New Roman"/>
          <w:sz w:val="24"/>
          <w:szCs w:val="24"/>
        </w:rPr>
      </w:pPr>
    </w:p>
    <w:p w14:paraId="0D64990B" w14:textId="77777777" w:rsidR="000A2139" w:rsidRPr="009733B7" w:rsidRDefault="000A2139" w:rsidP="009733B7">
      <w:pPr>
        <w:pStyle w:val="Heading3"/>
        <w:spacing w:before="0" w:line="240" w:lineRule="auto"/>
        <w:rPr>
          <w:rFonts w:ascii="Times New Roman" w:hAnsi="Times New Roman" w:cs="Times New Roman"/>
          <w:b/>
          <w:color w:val="auto"/>
        </w:rPr>
      </w:pPr>
      <w:bookmarkStart w:id="39" w:name="_Toc534366181"/>
      <w:r w:rsidRPr="009733B7">
        <w:rPr>
          <w:rFonts w:ascii="Times New Roman" w:hAnsi="Times New Roman" w:cs="Times New Roman"/>
          <w:b/>
          <w:color w:val="auto"/>
        </w:rPr>
        <w:t>6.  Created for Legitimate Nontax Reasons</w:t>
      </w:r>
      <w:bookmarkEnd w:id="39"/>
    </w:p>
    <w:p w14:paraId="674FF6A3" w14:textId="77777777" w:rsidR="000A2139" w:rsidRDefault="000A2139" w:rsidP="00597506">
      <w:pPr>
        <w:spacing w:after="0" w:line="240" w:lineRule="auto"/>
        <w:rPr>
          <w:rFonts w:ascii="Times New Roman" w:hAnsi="Times New Roman" w:cs="Times New Roman"/>
          <w:sz w:val="24"/>
          <w:szCs w:val="24"/>
        </w:rPr>
      </w:pPr>
    </w:p>
    <w:p w14:paraId="01B5BB89" w14:textId="77777777" w:rsidR="000A2139" w:rsidRDefault="000A2139" w:rsidP="00AD651C">
      <w:pPr>
        <w:spacing w:after="0" w:line="240" w:lineRule="auto"/>
        <w:rPr>
          <w:rFonts w:ascii="Times New Roman" w:hAnsi="Times New Roman" w:cs="Times New Roman"/>
          <w:sz w:val="24"/>
          <w:szCs w:val="24"/>
        </w:rPr>
      </w:pPr>
      <w:r w:rsidRPr="00F457CF">
        <w:rPr>
          <w:rFonts w:ascii="Times New Roman" w:hAnsi="Times New Roman" w:cs="Times New Roman"/>
          <w:sz w:val="24"/>
          <w:szCs w:val="24"/>
        </w:rPr>
        <w:t>The</w:t>
      </w:r>
      <w:r>
        <w:rPr>
          <w:rFonts w:ascii="Times New Roman" w:hAnsi="Times New Roman" w:cs="Times New Roman"/>
          <w:sz w:val="24"/>
          <w:szCs w:val="24"/>
        </w:rPr>
        <w:t xml:space="preserve"> Court stated regarding its view of PoolRe’s business purpose: </w:t>
      </w:r>
    </w:p>
    <w:p w14:paraId="33E834F6" w14:textId="77777777" w:rsidR="000A2139" w:rsidRDefault="000A2139" w:rsidP="00AD651C">
      <w:pPr>
        <w:spacing w:after="0" w:line="240" w:lineRule="auto"/>
        <w:rPr>
          <w:rFonts w:ascii="Times New Roman" w:hAnsi="Times New Roman" w:cs="Times New Roman"/>
          <w:sz w:val="24"/>
          <w:szCs w:val="24"/>
        </w:rPr>
      </w:pPr>
    </w:p>
    <w:p w14:paraId="6E449211" w14:textId="77777777" w:rsidR="000A2139" w:rsidRDefault="000A2139" w:rsidP="00AD651C">
      <w:pPr>
        <w:spacing w:after="0" w:line="240" w:lineRule="auto"/>
        <w:ind w:left="720"/>
        <w:rPr>
          <w:rFonts w:ascii="Times New Roman" w:hAnsi="Times New Roman" w:cs="Times New Roman"/>
          <w:sz w:val="24"/>
          <w:szCs w:val="24"/>
        </w:rPr>
      </w:pPr>
      <w:r>
        <w:rPr>
          <w:rFonts w:ascii="Times New Roman" w:hAnsi="Times New Roman" w:cs="Times New Roman"/>
          <w:sz w:val="24"/>
          <w:szCs w:val="24"/>
        </w:rPr>
        <w:lastRenderedPageBreak/>
        <w:t>“</w:t>
      </w:r>
      <w:r w:rsidRPr="0085614B">
        <w:rPr>
          <w:rFonts w:ascii="Times New Roman" w:hAnsi="Times New Roman" w:cs="Times New Roman"/>
          <w:b/>
          <w:i/>
          <w:sz w:val="24"/>
          <w:szCs w:val="24"/>
        </w:rPr>
        <w:t>The only purpose PoolRe served through the quota share arrangement was to shift income from Peak to Reserve. Reserve has not established that PoolRe was created or operated for legitimate nontax reasons</w:t>
      </w:r>
      <w:r w:rsidRPr="00F457CF">
        <w:rPr>
          <w:rFonts w:ascii="Times New Roman" w:hAnsi="Times New Roman" w:cs="Times New Roman"/>
          <w:sz w:val="24"/>
          <w:szCs w:val="24"/>
        </w:rPr>
        <w:t>.</w:t>
      </w:r>
      <w:r>
        <w:rPr>
          <w:rFonts w:ascii="Times New Roman" w:hAnsi="Times New Roman" w:cs="Times New Roman"/>
          <w:sz w:val="24"/>
          <w:szCs w:val="24"/>
        </w:rPr>
        <w:t>”</w:t>
      </w:r>
      <w:r>
        <w:rPr>
          <w:rStyle w:val="EndnoteReference"/>
          <w:rFonts w:ascii="Times New Roman" w:hAnsi="Times New Roman" w:cs="Times New Roman"/>
          <w:sz w:val="24"/>
          <w:szCs w:val="24"/>
        </w:rPr>
        <w:endnoteReference w:id="121"/>
      </w:r>
    </w:p>
    <w:p w14:paraId="57A478B5" w14:textId="77777777" w:rsidR="000A2139" w:rsidRDefault="000A2139" w:rsidP="00AD651C">
      <w:pPr>
        <w:spacing w:after="0" w:line="240" w:lineRule="auto"/>
        <w:rPr>
          <w:rFonts w:ascii="Times New Roman" w:hAnsi="Times New Roman" w:cs="Times New Roman"/>
          <w:sz w:val="24"/>
          <w:szCs w:val="24"/>
        </w:rPr>
      </w:pPr>
    </w:p>
    <w:p w14:paraId="5BB78C32" w14:textId="5B4B2948" w:rsidR="000A2139" w:rsidRDefault="000A2139" w:rsidP="00AD651C">
      <w:pPr>
        <w:spacing w:after="0" w:line="240" w:lineRule="auto"/>
        <w:rPr>
          <w:rFonts w:ascii="Times New Roman" w:hAnsi="Times New Roman" w:cs="Times New Roman"/>
          <w:sz w:val="24"/>
          <w:szCs w:val="24"/>
        </w:rPr>
      </w:pPr>
      <w:r>
        <w:rPr>
          <w:rFonts w:ascii="Times New Roman" w:hAnsi="Times New Roman" w:cs="Times New Roman"/>
          <w:sz w:val="24"/>
          <w:szCs w:val="24"/>
        </w:rPr>
        <w:t>Firstly, the Court is conflating any needed business purpose of Reserve with the need for the Court to examine the business purpose of PoolRe.  As an initial matter, the Court requiring a business purpose of PoolRe is in error.  Nonetheless, as explained at trial, the business purpose of PoolRe is to underwrite a variety of risks on behalf of each of its participants, which includes: (a) blending the risks of each captive participant, (b) underwriting the Lyndon unrelated third-party insurance on a for profit basis, and (c) investing its assets, seeking a profitable return.</w:t>
      </w:r>
    </w:p>
    <w:p w14:paraId="2B8A4F34" w14:textId="77777777" w:rsidR="000A2139" w:rsidRDefault="000A2139" w:rsidP="00AD651C">
      <w:pPr>
        <w:spacing w:after="0" w:line="240" w:lineRule="auto"/>
        <w:rPr>
          <w:rFonts w:ascii="Times New Roman" w:hAnsi="Times New Roman" w:cs="Times New Roman"/>
          <w:sz w:val="24"/>
          <w:szCs w:val="24"/>
        </w:rPr>
      </w:pPr>
    </w:p>
    <w:p w14:paraId="740D4D16" w14:textId="4CD59094" w:rsidR="000A2139" w:rsidRPr="006A3BB7" w:rsidRDefault="000A2139" w:rsidP="00AD651C">
      <w:pPr>
        <w:spacing w:after="0" w:line="240" w:lineRule="auto"/>
        <w:rPr>
          <w:rFonts w:ascii="Times New Roman" w:hAnsi="Times New Roman" w:cs="Times New Roman"/>
          <w:sz w:val="24"/>
          <w:szCs w:val="24"/>
        </w:rPr>
      </w:pPr>
      <w:r>
        <w:rPr>
          <w:rFonts w:ascii="Times New Roman" w:hAnsi="Times New Roman" w:cs="Times New Roman"/>
          <w:sz w:val="24"/>
          <w:szCs w:val="24"/>
        </w:rPr>
        <w:t>Secondly, the Court is conflating any perceived need to examine PoolRe’s business purpose generally with PoolRe’s business purpose for administering this particular pooling program.  While not an issue below, having only been raised erroneously by the Court, PoolRe is and has been an insurance company since 2003, having been found to be such by the government in 39 separate private letter rulings that were issued to captives that were participants in the PoolRe pooling arrangement.</w:t>
      </w:r>
      <w:r>
        <w:rPr>
          <w:rStyle w:val="EndnoteReference"/>
          <w:rFonts w:ascii="Times New Roman" w:hAnsi="Times New Roman" w:cs="Times New Roman"/>
          <w:sz w:val="24"/>
          <w:szCs w:val="24"/>
        </w:rPr>
        <w:endnoteReference w:id="122"/>
      </w:r>
      <w:r>
        <w:rPr>
          <w:rFonts w:ascii="Times New Roman" w:hAnsi="Times New Roman" w:cs="Times New Roman"/>
          <w:sz w:val="24"/>
          <w:szCs w:val="24"/>
        </w:rPr>
        <w:t xml:space="preserve">  There is no precedent establishing the need for a business purpose on a line of business by line of business basis (that is, for PoolRe’s administration of this pooling arrangement as opposed to its other operations).  The obvious business purpose for PoolRe conduct the pooling arrangement was to blend the risks of each of the pool’s participants for the collective benefit of all of the pool’s participants.  </w:t>
      </w:r>
      <w:r w:rsidRPr="006A3BB7">
        <w:rPr>
          <w:rFonts w:ascii="Times New Roman" w:hAnsi="Times New Roman" w:cs="Times New Roman"/>
          <w:sz w:val="24"/>
          <w:szCs w:val="24"/>
        </w:rPr>
        <w:t xml:space="preserve">The Court was in error on both of its conflated issues.  To be sure, the Court failed to provide any cite for its newly created, </w:t>
      </w:r>
      <w:r w:rsidRPr="006A3BB7">
        <w:rPr>
          <w:rFonts w:ascii="Times New Roman" w:hAnsi="Times New Roman" w:cs="Times New Roman"/>
          <w:i/>
          <w:sz w:val="24"/>
          <w:szCs w:val="24"/>
        </w:rPr>
        <w:t>sua sponte</w:t>
      </w:r>
      <w:r w:rsidRPr="006A3BB7">
        <w:rPr>
          <w:rFonts w:ascii="Times New Roman" w:hAnsi="Times New Roman" w:cs="Times New Roman"/>
          <w:sz w:val="24"/>
          <w:szCs w:val="24"/>
        </w:rPr>
        <w:t xml:space="preserve"> rulings.  As discussed previously at page 1</w:t>
      </w:r>
      <w:r w:rsidR="009D5955">
        <w:rPr>
          <w:rFonts w:ascii="Times New Roman" w:hAnsi="Times New Roman" w:cs="Times New Roman"/>
          <w:sz w:val="24"/>
          <w:szCs w:val="24"/>
        </w:rPr>
        <w:t>3</w:t>
      </w:r>
      <w:r w:rsidRPr="006A3BB7">
        <w:rPr>
          <w:rFonts w:ascii="Times New Roman" w:hAnsi="Times New Roman" w:cs="Times New Roman"/>
          <w:sz w:val="24"/>
          <w:szCs w:val="24"/>
        </w:rPr>
        <w:t>, a pooling arrangement may be implemented through an insurer as an insurance arrangement or may simply be a contractual agreement among the pool’s members.</w:t>
      </w:r>
    </w:p>
    <w:p w14:paraId="3D5344F8" w14:textId="77777777" w:rsidR="000A2139" w:rsidRPr="006A3BB7" w:rsidRDefault="000A2139" w:rsidP="00AD651C">
      <w:pPr>
        <w:spacing w:after="0" w:line="240" w:lineRule="auto"/>
        <w:rPr>
          <w:rFonts w:ascii="Times New Roman" w:hAnsi="Times New Roman" w:cs="Times New Roman"/>
          <w:sz w:val="24"/>
          <w:szCs w:val="24"/>
        </w:rPr>
      </w:pPr>
    </w:p>
    <w:p w14:paraId="3E89C139" w14:textId="77777777" w:rsidR="000A2139" w:rsidRDefault="000A2139" w:rsidP="00AD651C">
      <w:pPr>
        <w:spacing w:after="0" w:line="240" w:lineRule="auto"/>
        <w:rPr>
          <w:rFonts w:ascii="Times New Roman" w:hAnsi="Times New Roman" w:cs="Times New Roman"/>
          <w:sz w:val="24"/>
          <w:szCs w:val="24"/>
        </w:rPr>
      </w:pPr>
      <w:r w:rsidRPr="006A3BB7">
        <w:rPr>
          <w:rFonts w:ascii="Times New Roman" w:hAnsi="Times New Roman" w:cs="Times New Roman"/>
          <w:sz w:val="24"/>
          <w:szCs w:val="24"/>
        </w:rPr>
        <w:t>Thirdly, the government’s sole expert witness, Donald J. Riggin, did not provide any testimony that the pooling arrangement was a sham or lacked a legitimate business purpose of distributing risk among the participating captives.  In fact, Mr. Riggin admitted in his expert reports that the PoolRe pooling arrangement provided the benefit of risk blending (and risk distribution) to the participating captives.  Mr. Riggin made each of the following statements in his opening expert report:</w:t>
      </w:r>
    </w:p>
    <w:p w14:paraId="45C68D76" w14:textId="77777777" w:rsidR="000A2139" w:rsidRDefault="000A2139" w:rsidP="00AD651C">
      <w:pPr>
        <w:spacing w:after="0" w:line="240" w:lineRule="auto"/>
        <w:rPr>
          <w:rFonts w:ascii="Times New Roman" w:hAnsi="Times New Roman" w:cs="Times New Roman"/>
          <w:sz w:val="24"/>
          <w:szCs w:val="24"/>
        </w:rPr>
      </w:pPr>
    </w:p>
    <w:p w14:paraId="6D2DB4F7" w14:textId="77777777" w:rsidR="000A2139" w:rsidRPr="00E37076" w:rsidRDefault="000A2139" w:rsidP="00AD651C">
      <w:pPr>
        <w:spacing w:after="0" w:line="240" w:lineRule="auto"/>
        <w:rPr>
          <w:rFonts w:ascii="Times New Roman" w:hAnsi="Times New Roman" w:cs="Times New Roman"/>
          <w:sz w:val="24"/>
          <w:szCs w:val="24"/>
        </w:rPr>
      </w:pPr>
      <w:r>
        <w:rPr>
          <w:rFonts w:ascii="Times New Roman" w:hAnsi="Times New Roman" w:cs="Times New Roman"/>
          <w:sz w:val="24"/>
          <w:szCs w:val="24"/>
        </w:rPr>
        <w:tab/>
        <w:t>“</w:t>
      </w:r>
      <w:r w:rsidRPr="00E37076">
        <w:rPr>
          <w:rFonts w:ascii="Times New Roman" w:hAnsi="Times New Roman" w:cs="Times New Roman"/>
          <w:sz w:val="24"/>
          <w:szCs w:val="24"/>
        </w:rPr>
        <w:t>Poo</w:t>
      </w:r>
      <w:r>
        <w:rPr>
          <w:rFonts w:ascii="Times New Roman" w:hAnsi="Times New Roman" w:cs="Times New Roman"/>
          <w:sz w:val="24"/>
          <w:szCs w:val="24"/>
        </w:rPr>
        <w:t>l</w:t>
      </w:r>
      <w:r w:rsidRPr="00E37076">
        <w:rPr>
          <w:rFonts w:ascii="Times New Roman" w:hAnsi="Times New Roman" w:cs="Times New Roman"/>
          <w:sz w:val="24"/>
          <w:szCs w:val="24"/>
        </w:rPr>
        <w:t>Re Insurance Corp. (</w:t>
      </w:r>
      <w:r>
        <w:rPr>
          <w:rFonts w:ascii="Times New Roman" w:hAnsi="Times New Roman" w:cs="Times New Roman"/>
          <w:sz w:val="24"/>
          <w:szCs w:val="24"/>
        </w:rPr>
        <w:t>‘</w:t>
      </w:r>
      <w:r w:rsidRPr="00E37076">
        <w:rPr>
          <w:rFonts w:ascii="Times New Roman" w:hAnsi="Times New Roman" w:cs="Times New Roman"/>
          <w:sz w:val="24"/>
          <w:szCs w:val="24"/>
        </w:rPr>
        <w:t>PoolRe</w:t>
      </w:r>
      <w:r>
        <w:rPr>
          <w:rFonts w:ascii="Times New Roman" w:hAnsi="Times New Roman" w:cs="Times New Roman"/>
          <w:sz w:val="24"/>
          <w:szCs w:val="24"/>
        </w:rPr>
        <w:t>’</w:t>
      </w:r>
      <w:r w:rsidRPr="00E37076">
        <w:rPr>
          <w:rFonts w:ascii="Times New Roman" w:hAnsi="Times New Roman" w:cs="Times New Roman"/>
          <w:sz w:val="24"/>
          <w:szCs w:val="24"/>
        </w:rPr>
        <w:t>) is a virtual risk-blending construct. It holds</w:t>
      </w:r>
    </w:p>
    <w:p w14:paraId="0D84646A" w14:textId="77777777" w:rsidR="000A2139" w:rsidRPr="00E37076" w:rsidRDefault="000A2139" w:rsidP="00AD651C">
      <w:pPr>
        <w:spacing w:after="0" w:line="240" w:lineRule="auto"/>
        <w:ind w:left="720"/>
        <w:rPr>
          <w:rFonts w:ascii="Times New Roman" w:hAnsi="Times New Roman" w:cs="Times New Roman"/>
          <w:sz w:val="24"/>
          <w:szCs w:val="24"/>
        </w:rPr>
      </w:pPr>
      <w:r w:rsidRPr="00E37076">
        <w:rPr>
          <w:rFonts w:ascii="Times New Roman" w:hAnsi="Times New Roman" w:cs="Times New Roman"/>
          <w:sz w:val="24"/>
          <w:szCs w:val="24"/>
        </w:rPr>
        <w:t>no risk; it merely blends risk ceded from each Capstone captive, and then cedes all of it back to</w:t>
      </w:r>
      <w:r>
        <w:rPr>
          <w:rFonts w:ascii="Times New Roman" w:hAnsi="Times New Roman" w:cs="Times New Roman"/>
          <w:sz w:val="24"/>
          <w:szCs w:val="24"/>
        </w:rPr>
        <w:t xml:space="preserve"> </w:t>
      </w:r>
      <w:r w:rsidRPr="00E37076">
        <w:rPr>
          <w:rFonts w:ascii="Times New Roman" w:hAnsi="Times New Roman" w:cs="Times New Roman"/>
          <w:sz w:val="24"/>
          <w:szCs w:val="24"/>
        </w:rPr>
        <w:t>the individual captives from whence they came, pro rata based on the total premium amounts.</w:t>
      </w:r>
      <w:r>
        <w:rPr>
          <w:rFonts w:ascii="Times New Roman" w:hAnsi="Times New Roman" w:cs="Times New Roman"/>
          <w:sz w:val="24"/>
          <w:szCs w:val="24"/>
        </w:rPr>
        <w:t>”</w:t>
      </w:r>
      <w:r>
        <w:rPr>
          <w:rStyle w:val="EndnoteReference"/>
          <w:rFonts w:ascii="Times New Roman" w:hAnsi="Times New Roman" w:cs="Times New Roman"/>
          <w:sz w:val="24"/>
          <w:szCs w:val="24"/>
        </w:rPr>
        <w:endnoteReference w:id="123"/>
      </w:r>
    </w:p>
    <w:p w14:paraId="2B0CF393" w14:textId="77777777" w:rsidR="000A2139" w:rsidRDefault="000A2139" w:rsidP="00AD651C">
      <w:pPr>
        <w:spacing w:after="0" w:line="240" w:lineRule="auto"/>
        <w:rPr>
          <w:rFonts w:ascii="Times New Roman" w:hAnsi="Times New Roman" w:cs="Times New Roman"/>
          <w:sz w:val="24"/>
          <w:szCs w:val="24"/>
        </w:rPr>
      </w:pPr>
    </w:p>
    <w:p w14:paraId="2AE929AB" w14:textId="77777777" w:rsidR="000A2139" w:rsidRPr="00E37076" w:rsidRDefault="000A2139" w:rsidP="00AD651C">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w:t>
      </w:r>
      <w:r w:rsidRPr="00E37076">
        <w:rPr>
          <w:rFonts w:ascii="Times New Roman" w:hAnsi="Times New Roman" w:cs="Times New Roman"/>
          <w:sz w:val="24"/>
          <w:szCs w:val="24"/>
        </w:rPr>
        <w:t>Poo</w:t>
      </w:r>
      <w:r>
        <w:rPr>
          <w:rFonts w:ascii="Times New Roman" w:hAnsi="Times New Roman" w:cs="Times New Roman"/>
          <w:sz w:val="24"/>
          <w:szCs w:val="24"/>
        </w:rPr>
        <w:t>l</w:t>
      </w:r>
      <w:r w:rsidRPr="00E37076">
        <w:rPr>
          <w:rFonts w:ascii="Times New Roman" w:hAnsi="Times New Roman" w:cs="Times New Roman"/>
          <w:sz w:val="24"/>
          <w:szCs w:val="24"/>
        </w:rPr>
        <w:t>Re blends 18.5 percent of</w:t>
      </w:r>
      <w:r>
        <w:rPr>
          <w:rFonts w:ascii="Times New Roman" w:hAnsi="Times New Roman" w:cs="Times New Roman"/>
          <w:sz w:val="24"/>
          <w:szCs w:val="24"/>
        </w:rPr>
        <w:t xml:space="preserve"> </w:t>
      </w:r>
      <w:r w:rsidRPr="00E37076">
        <w:rPr>
          <w:rFonts w:ascii="Times New Roman" w:hAnsi="Times New Roman" w:cs="Times New Roman"/>
          <w:sz w:val="24"/>
          <w:szCs w:val="24"/>
        </w:rPr>
        <w:t>the premiums and losses; the individual captives</w:t>
      </w:r>
    </w:p>
    <w:p w14:paraId="4DF041BD" w14:textId="77777777" w:rsidR="000A2139" w:rsidRDefault="000A2139" w:rsidP="00AD651C">
      <w:pPr>
        <w:spacing w:after="0" w:line="240" w:lineRule="auto"/>
        <w:ind w:left="720"/>
        <w:rPr>
          <w:rFonts w:ascii="Times New Roman" w:hAnsi="Times New Roman" w:cs="Times New Roman"/>
          <w:sz w:val="24"/>
          <w:szCs w:val="24"/>
        </w:rPr>
      </w:pPr>
      <w:r w:rsidRPr="00E37076">
        <w:rPr>
          <w:rFonts w:ascii="Times New Roman" w:hAnsi="Times New Roman" w:cs="Times New Roman"/>
          <w:sz w:val="24"/>
          <w:szCs w:val="24"/>
        </w:rPr>
        <w:t>purportedly each retain 81.5 percent, plus a blended share of</w:t>
      </w:r>
      <w:r>
        <w:rPr>
          <w:rFonts w:ascii="Times New Roman" w:hAnsi="Times New Roman" w:cs="Times New Roman"/>
          <w:sz w:val="24"/>
          <w:szCs w:val="24"/>
        </w:rPr>
        <w:t xml:space="preserve"> </w:t>
      </w:r>
      <w:r w:rsidRPr="00E37076">
        <w:rPr>
          <w:rFonts w:ascii="Times New Roman" w:hAnsi="Times New Roman" w:cs="Times New Roman"/>
          <w:sz w:val="24"/>
          <w:szCs w:val="24"/>
        </w:rPr>
        <w:t>Poo</w:t>
      </w:r>
      <w:r>
        <w:rPr>
          <w:rFonts w:ascii="Times New Roman" w:hAnsi="Times New Roman" w:cs="Times New Roman"/>
          <w:sz w:val="24"/>
          <w:szCs w:val="24"/>
        </w:rPr>
        <w:t>l</w:t>
      </w:r>
      <w:r w:rsidRPr="00E37076">
        <w:rPr>
          <w:rFonts w:ascii="Times New Roman" w:hAnsi="Times New Roman" w:cs="Times New Roman"/>
          <w:sz w:val="24"/>
          <w:szCs w:val="24"/>
        </w:rPr>
        <w:t>Re</w:t>
      </w:r>
      <w:r>
        <w:rPr>
          <w:rFonts w:ascii="Times New Roman" w:hAnsi="Times New Roman" w:cs="Times New Roman"/>
          <w:sz w:val="24"/>
          <w:szCs w:val="24"/>
        </w:rPr>
        <w:t>’</w:t>
      </w:r>
      <w:r w:rsidRPr="00E37076">
        <w:rPr>
          <w:rFonts w:ascii="Times New Roman" w:hAnsi="Times New Roman" w:cs="Times New Roman"/>
          <w:sz w:val="24"/>
          <w:szCs w:val="24"/>
        </w:rPr>
        <w:t>s risk. Poo</w:t>
      </w:r>
      <w:r>
        <w:rPr>
          <w:rFonts w:ascii="Times New Roman" w:hAnsi="Times New Roman" w:cs="Times New Roman"/>
          <w:sz w:val="24"/>
          <w:szCs w:val="24"/>
        </w:rPr>
        <w:t>l</w:t>
      </w:r>
      <w:r w:rsidRPr="00E37076">
        <w:rPr>
          <w:rFonts w:ascii="Times New Roman" w:hAnsi="Times New Roman" w:cs="Times New Roman"/>
          <w:sz w:val="24"/>
          <w:szCs w:val="24"/>
        </w:rPr>
        <w:t>Re also insures</w:t>
      </w:r>
      <w:r>
        <w:rPr>
          <w:rFonts w:ascii="Times New Roman" w:hAnsi="Times New Roman" w:cs="Times New Roman"/>
          <w:sz w:val="24"/>
          <w:szCs w:val="24"/>
        </w:rPr>
        <w:t xml:space="preserve"> </w:t>
      </w:r>
      <w:r w:rsidRPr="00E37076">
        <w:rPr>
          <w:rFonts w:ascii="Times New Roman" w:hAnsi="Times New Roman" w:cs="Times New Roman"/>
          <w:sz w:val="24"/>
          <w:szCs w:val="24"/>
        </w:rPr>
        <w:t>risk from entirely unrelated sources. The combination of</w:t>
      </w:r>
      <w:r>
        <w:rPr>
          <w:rFonts w:ascii="Times New Roman" w:hAnsi="Times New Roman" w:cs="Times New Roman"/>
          <w:sz w:val="24"/>
          <w:szCs w:val="24"/>
        </w:rPr>
        <w:t xml:space="preserve"> </w:t>
      </w:r>
      <w:r w:rsidRPr="00E37076">
        <w:rPr>
          <w:rFonts w:ascii="Times New Roman" w:hAnsi="Times New Roman" w:cs="Times New Roman"/>
          <w:sz w:val="24"/>
          <w:szCs w:val="24"/>
        </w:rPr>
        <w:t>the captive</w:t>
      </w:r>
      <w:r>
        <w:rPr>
          <w:rFonts w:ascii="Times New Roman" w:hAnsi="Times New Roman" w:cs="Times New Roman"/>
          <w:sz w:val="24"/>
          <w:szCs w:val="24"/>
        </w:rPr>
        <w:t>’</w:t>
      </w:r>
      <w:r w:rsidRPr="00E37076">
        <w:rPr>
          <w:rFonts w:ascii="Times New Roman" w:hAnsi="Times New Roman" w:cs="Times New Roman"/>
          <w:sz w:val="24"/>
          <w:szCs w:val="24"/>
        </w:rPr>
        <w:t>s individual risk plus the</w:t>
      </w:r>
      <w:r>
        <w:rPr>
          <w:rFonts w:ascii="Times New Roman" w:hAnsi="Times New Roman" w:cs="Times New Roman"/>
          <w:sz w:val="24"/>
          <w:szCs w:val="24"/>
        </w:rPr>
        <w:t xml:space="preserve"> </w:t>
      </w:r>
      <w:r w:rsidRPr="00E37076">
        <w:rPr>
          <w:rFonts w:ascii="Times New Roman" w:hAnsi="Times New Roman" w:cs="Times New Roman"/>
          <w:sz w:val="24"/>
          <w:szCs w:val="24"/>
        </w:rPr>
        <w:t xml:space="preserve">two types of unrelated risk results in a </w:t>
      </w:r>
      <w:r>
        <w:rPr>
          <w:rFonts w:ascii="Times New Roman" w:hAnsi="Times New Roman" w:cs="Times New Roman"/>
          <w:sz w:val="24"/>
          <w:szCs w:val="24"/>
        </w:rPr>
        <w:t>[</w:t>
      </w:r>
      <w:r w:rsidRPr="00E37076">
        <w:rPr>
          <w:rFonts w:ascii="Times New Roman" w:hAnsi="Times New Roman" w:cs="Times New Roman"/>
          <w:sz w:val="24"/>
          <w:szCs w:val="24"/>
        </w:rPr>
        <w:t>70</w:t>
      </w:r>
      <w:r>
        <w:rPr>
          <w:rFonts w:ascii="Times New Roman" w:hAnsi="Times New Roman" w:cs="Times New Roman"/>
          <w:sz w:val="24"/>
          <w:szCs w:val="24"/>
        </w:rPr>
        <w:t xml:space="preserve"> percent/</w:t>
      </w:r>
      <w:r w:rsidRPr="00E37076">
        <w:rPr>
          <w:rFonts w:ascii="Times New Roman" w:hAnsi="Times New Roman" w:cs="Times New Roman"/>
          <w:sz w:val="24"/>
          <w:szCs w:val="24"/>
        </w:rPr>
        <w:t>30</w:t>
      </w:r>
      <w:r>
        <w:rPr>
          <w:rFonts w:ascii="Times New Roman" w:hAnsi="Times New Roman" w:cs="Times New Roman"/>
          <w:sz w:val="24"/>
          <w:szCs w:val="24"/>
        </w:rPr>
        <w:t xml:space="preserve"> percent] </w:t>
      </w:r>
      <w:r w:rsidRPr="00E37076">
        <w:rPr>
          <w:rFonts w:ascii="Times New Roman" w:hAnsi="Times New Roman" w:cs="Times New Roman"/>
          <w:sz w:val="24"/>
          <w:szCs w:val="24"/>
        </w:rPr>
        <w:t>breakdown between the captive</w:t>
      </w:r>
      <w:r>
        <w:rPr>
          <w:rFonts w:ascii="Times New Roman" w:hAnsi="Times New Roman" w:cs="Times New Roman"/>
          <w:sz w:val="24"/>
          <w:szCs w:val="24"/>
        </w:rPr>
        <w:t>’</w:t>
      </w:r>
      <w:r w:rsidRPr="00E37076">
        <w:rPr>
          <w:rFonts w:ascii="Times New Roman" w:hAnsi="Times New Roman" w:cs="Times New Roman"/>
          <w:sz w:val="24"/>
          <w:szCs w:val="24"/>
        </w:rPr>
        <w:t>s risk and the</w:t>
      </w:r>
      <w:r>
        <w:rPr>
          <w:rFonts w:ascii="Times New Roman" w:hAnsi="Times New Roman" w:cs="Times New Roman"/>
          <w:sz w:val="24"/>
          <w:szCs w:val="24"/>
        </w:rPr>
        <w:t xml:space="preserve"> </w:t>
      </w:r>
      <w:r w:rsidRPr="00E37076">
        <w:rPr>
          <w:rFonts w:ascii="Times New Roman" w:hAnsi="Times New Roman" w:cs="Times New Roman"/>
          <w:sz w:val="24"/>
          <w:szCs w:val="24"/>
        </w:rPr>
        <w:t>pooled, unrelated risk.</w:t>
      </w:r>
      <w:r>
        <w:rPr>
          <w:rFonts w:ascii="Times New Roman" w:hAnsi="Times New Roman" w:cs="Times New Roman"/>
          <w:sz w:val="24"/>
          <w:szCs w:val="24"/>
        </w:rPr>
        <w:t>”</w:t>
      </w:r>
      <w:r>
        <w:rPr>
          <w:rStyle w:val="EndnoteReference"/>
          <w:rFonts w:ascii="Times New Roman" w:hAnsi="Times New Roman" w:cs="Times New Roman"/>
          <w:sz w:val="24"/>
          <w:szCs w:val="24"/>
        </w:rPr>
        <w:endnoteReference w:id="124"/>
      </w:r>
    </w:p>
    <w:p w14:paraId="1516C77B" w14:textId="77777777" w:rsidR="000A2139" w:rsidRDefault="000A2139" w:rsidP="00AD651C">
      <w:pPr>
        <w:spacing w:after="0" w:line="240" w:lineRule="auto"/>
        <w:rPr>
          <w:rFonts w:ascii="Times New Roman" w:hAnsi="Times New Roman" w:cs="Times New Roman"/>
          <w:sz w:val="24"/>
          <w:szCs w:val="24"/>
        </w:rPr>
      </w:pPr>
    </w:p>
    <w:p w14:paraId="25EF68AA" w14:textId="77777777" w:rsidR="000A2139" w:rsidRPr="009E4FCE" w:rsidRDefault="000A2139" w:rsidP="00AD651C">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w:t>
      </w:r>
      <w:r w:rsidRPr="009E4FCE">
        <w:rPr>
          <w:rFonts w:ascii="Times New Roman" w:hAnsi="Times New Roman" w:cs="Times New Roman"/>
          <w:sz w:val="24"/>
          <w:szCs w:val="24"/>
        </w:rPr>
        <w:t>If you pool a large number of</w:t>
      </w:r>
      <w:r>
        <w:rPr>
          <w:rFonts w:ascii="Times New Roman" w:hAnsi="Times New Roman" w:cs="Times New Roman"/>
          <w:sz w:val="24"/>
          <w:szCs w:val="24"/>
        </w:rPr>
        <w:t xml:space="preserve"> </w:t>
      </w:r>
      <w:r w:rsidRPr="009E4FCE">
        <w:rPr>
          <w:rFonts w:ascii="Times New Roman" w:hAnsi="Times New Roman" w:cs="Times New Roman"/>
          <w:sz w:val="24"/>
          <w:szCs w:val="24"/>
        </w:rPr>
        <w:t>heterogeneous risks, as does the Capstone program,</w:t>
      </w:r>
    </w:p>
    <w:p w14:paraId="6C8F1753" w14:textId="77777777" w:rsidR="000A2139" w:rsidRDefault="000A2139" w:rsidP="00AD651C">
      <w:pPr>
        <w:spacing w:after="0" w:line="240" w:lineRule="auto"/>
        <w:ind w:left="720"/>
        <w:rPr>
          <w:rFonts w:ascii="Times New Roman" w:hAnsi="Times New Roman" w:cs="Times New Roman"/>
          <w:sz w:val="24"/>
          <w:szCs w:val="24"/>
        </w:rPr>
      </w:pPr>
      <w:r w:rsidRPr="009E4FCE">
        <w:rPr>
          <w:rFonts w:ascii="Times New Roman" w:hAnsi="Times New Roman" w:cs="Times New Roman"/>
          <w:sz w:val="24"/>
          <w:szCs w:val="24"/>
        </w:rPr>
        <w:lastRenderedPageBreak/>
        <w:t>and dole out loss payments irrespective of which risk was responsible for the loss, you have</w:t>
      </w:r>
      <w:r>
        <w:rPr>
          <w:rFonts w:ascii="Times New Roman" w:hAnsi="Times New Roman" w:cs="Times New Roman"/>
          <w:sz w:val="24"/>
          <w:szCs w:val="24"/>
        </w:rPr>
        <w:t xml:space="preserve"> </w:t>
      </w:r>
      <w:r w:rsidRPr="009E4FCE">
        <w:rPr>
          <w:rFonts w:ascii="Times New Roman" w:hAnsi="Times New Roman" w:cs="Times New Roman"/>
          <w:sz w:val="24"/>
          <w:szCs w:val="24"/>
        </w:rPr>
        <w:t>distributed the risk.</w:t>
      </w:r>
      <w:r>
        <w:rPr>
          <w:rFonts w:ascii="Times New Roman" w:hAnsi="Times New Roman" w:cs="Times New Roman"/>
          <w:sz w:val="24"/>
          <w:szCs w:val="24"/>
        </w:rPr>
        <w:t xml:space="preserve"> . .”</w:t>
      </w:r>
      <w:r>
        <w:rPr>
          <w:rStyle w:val="EndnoteReference"/>
          <w:rFonts w:ascii="Times New Roman" w:hAnsi="Times New Roman" w:cs="Times New Roman"/>
          <w:sz w:val="24"/>
          <w:szCs w:val="24"/>
        </w:rPr>
        <w:endnoteReference w:id="125"/>
      </w:r>
    </w:p>
    <w:p w14:paraId="487EB5A0" w14:textId="77777777" w:rsidR="000A2139" w:rsidRDefault="000A2139" w:rsidP="00AD651C">
      <w:pPr>
        <w:spacing w:after="0" w:line="240" w:lineRule="auto"/>
        <w:rPr>
          <w:rFonts w:ascii="Times New Roman" w:hAnsi="Times New Roman" w:cs="Times New Roman"/>
          <w:sz w:val="24"/>
          <w:szCs w:val="24"/>
          <w:highlight w:val="yellow"/>
        </w:rPr>
      </w:pPr>
    </w:p>
    <w:p w14:paraId="400A994F" w14:textId="77777777" w:rsidR="000A2139" w:rsidRDefault="000A2139" w:rsidP="00AD651C">
      <w:pPr>
        <w:spacing w:after="0" w:line="240" w:lineRule="auto"/>
        <w:rPr>
          <w:rFonts w:ascii="Times New Roman" w:hAnsi="Times New Roman" w:cs="Times New Roman"/>
          <w:sz w:val="24"/>
          <w:szCs w:val="24"/>
        </w:rPr>
      </w:pPr>
      <w:r w:rsidRPr="00502B83">
        <w:rPr>
          <w:rFonts w:ascii="Times New Roman" w:hAnsi="Times New Roman" w:cs="Times New Roman"/>
          <w:sz w:val="24"/>
          <w:szCs w:val="24"/>
        </w:rPr>
        <w:t xml:space="preserve">Mr. Riggin never argued at trial (in his testimony or in his expert reports) </w:t>
      </w:r>
      <w:r>
        <w:rPr>
          <w:rFonts w:ascii="Times New Roman" w:hAnsi="Times New Roman" w:cs="Times New Roman"/>
          <w:sz w:val="24"/>
          <w:szCs w:val="24"/>
        </w:rPr>
        <w:t xml:space="preserve">nor did the government </w:t>
      </w:r>
      <w:r w:rsidRPr="00502B83">
        <w:rPr>
          <w:rFonts w:ascii="Times New Roman" w:hAnsi="Times New Roman" w:cs="Times New Roman"/>
          <w:sz w:val="24"/>
          <w:szCs w:val="24"/>
        </w:rPr>
        <w:t>that PoolRe failed to serve a legitimate business purpose, acknowledging that PoolRe served the valid business purpose of enabling the blending of risk among all of its participating captives.</w:t>
      </w:r>
      <w:r w:rsidRPr="00502B83">
        <w:rPr>
          <w:rStyle w:val="EndnoteReference"/>
          <w:rFonts w:ascii="Times New Roman" w:hAnsi="Times New Roman" w:cs="Times New Roman"/>
          <w:sz w:val="24"/>
          <w:szCs w:val="24"/>
        </w:rPr>
        <w:endnoteReference w:id="126"/>
      </w:r>
      <w:r>
        <w:rPr>
          <w:rFonts w:ascii="Times New Roman" w:hAnsi="Times New Roman" w:cs="Times New Roman"/>
          <w:sz w:val="24"/>
          <w:szCs w:val="24"/>
        </w:rPr>
        <w:t xml:space="preserve">  Mr. Riggin did dispute (in his rebuttal expert report to Dr. Neil Doherty) that Reserve’s participation in PoolRe was successful in effectively distributing </w:t>
      </w:r>
      <w:r w:rsidRPr="00693B2E">
        <w:rPr>
          <w:rFonts w:ascii="Times New Roman" w:hAnsi="Times New Roman" w:cs="Times New Roman"/>
          <w:i/>
          <w:sz w:val="24"/>
          <w:szCs w:val="24"/>
        </w:rPr>
        <w:t>insurance</w:t>
      </w:r>
      <w:r>
        <w:rPr>
          <w:rFonts w:ascii="Times New Roman" w:hAnsi="Times New Roman" w:cs="Times New Roman"/>
          <w:sz w:val="24"/>
          <w:szCs w:val="24"/>
        </w:rPr>
        <w:t xml:space="preserve"> risk),</w:t>
      </w:r>
      <w:r>
        <w:rPr>
          <w:rStyle w:val="EndnoteReference"/>
          <w:rFonts w:ascii="Times New Roman" w:hAnsi="Times New Roman" w:cs="Times New Roman"/>
          <w:sz w:val="24"/>
          <w:szCs w:val="24"/>
        </w:rPr>
        <w:endnoteReference w:id="127"/>
      </w:r>
      <w:r>
        <w:rPr>
          <w:rFonts w:ascii="Times New Roman" w:hAnsi="Times New Roman" w:cs="Times New Roman"/>
          <w:sz w:val="24"/>
          <w:szCs w:val="24"/>
        </w:rPr>
        <w:t xml:space="preserve"> arguing that </w:t>
      </w:r>
      <w:r w:rsidRPr="00AD2AFC">
        <w:rPr>
          <w:rFonts w:ascii="Times New Roman" w:hAnsi="Times New Roman" w:cs="Times New Roman"/>
          <w:sz w:val="24"/>
          <w:szCs w:val="24"/>
        </w:rPr>
        <w:t>“homogeneity of exposure units” is necessary</w:t>
      </w:r>
      <w:r>
        <w:rPr>
          <w:rFonts w:ascii="Times New Roman" w:hAnsi="Times New Roman" w:cs="Times New Roman"/>
          <w:sz w:val="24"/>
          <w:szCs w:val="24"/>
        </w:rPr>
        <w:t xml:space="preserve"> </w:t>
      </w:r>
      <w:r w:rsidRPr="001741A9">
        <w:rPr>
          <w:rFonts w:ascii="Times New Roman" w:hAnsi="Times New Roman" w:cs="Times New Roman"/>
          <w:sz w:val="24"/>
          <w:szCs w:val="24"/>
        </w:rPr>
        <w:t>for</w:t>
      </w:r>
      <w:r>
        <w:rPr>
          <w:rFonts w:ascii="Times New Roman" w:hAnsi="Times New Roman" w:cs="Times New Roman"/>
          <w:sz w:val="24"/>
          <w:szCs w:val="24"/>
        </w:rPr>
        <w:t xml:space="preserve"> an</w:t>
      </w:r>
      <w:r w:rsidRPr="001741A9">
        <w:rPr>
          <w:rFonts w:ascii="Times New Roman" w:hAnsi="Times New Roman" w:cs="Times New Roman"/>
          <w:sz w:val="24"/>
          <w:szCs w:val="24"/>
        </w:rPr>
        <w:t xml:space="preserve"> </w:t>
      </w:r>
      <w:r>
        <w:rPr>
          <w:rFonts w:ascii="Times New Roman" w:hAnsi="Times New Roman" w:cs="Times New Roman"/>
          <w:sz w:val="24"/>
          <w:szCs w:val="24"/>
        </w:rPr>
        <w:t>insurer</w:t>
      </w:r>
      <w:r w:rsidRPr="001741A9">
        <w:rPr>
          <w:rFonts w:ascii="Times New Roman" w:hAnsi="Times New Roman" w:cs="Times New Roman"/>
          <w:sz w:val="24"/>
          <w:szCs w:val="24"/>
        </w:rPr>
        <w:t xml:space="preserve"> to </w:t>
      </w:r>
      <w:r>
        <w:rPr>
          <w:rFonts w:ascii="Times New Roman" w:hAnsi="Times New Roman" w:cs="Times New Roman"/>
          <w:sz w:val="24"/>
          <w:szCs w:val="24"/>
        </w:rPr>
        <w:t xml:space="preserve">have the ability to </w:t>
      </w:r>
      <w:r w:rsidRPr="001741A9">
        <w:rPr>
          <w:rFonts w:ascii="Times New Roman" w:hAnsi="Times New Roman" w:cs="Times New Roman"/>
          <w:sz w:val="24"/>
          <w:szCs w:val="24"/>
        </w:rPr>
        <w:t xml:space="preserve">develop </w:t>
      </w:r>
      <w:r>
        <w:rPr>
          <w:rFonts w:ascii="Times New Roman" w:hAnsi="Times New Roman" w:cs="Times New Roman"/>
          <w:sz w:val="24"/>
          <w:szCs w:val="24"/>
        </w:rPr>
        <w:t xml:space="preserve">loss </w:t>
      </w:r>
      <w:r w:rsidRPr="00502B83">
        <w:rPr>
          <w:rFonts w:ascii="Times New Roman" w:hAnsi="Times New Roman" w:cs="Times New Roman"/>
          <w:sz w:val="24"/>
          <w:szCs w:val="24"/>
        </w:rPr>
        <w:t>development factors (LDFs) and calculate expected losses.</w:t>
      </w:r>
      <w:r w:rsidRPr="00502B83">
        <w:rPr>
          <w:rStyle w:val="EndnoteReference"/>
          <w:rFonts w:ascii="Times New Roman" w:hAnsi="Times New Roman" w:cs="Times New Roman"/>
          <w:sz w:val="24"/>
          <w:szCs w:val="24"/>
        </w:rPr>
        <w:endnoteReference w:id="128"/>
      </w:r>
      <w:r>
        <w:rPr>
          <w:rFonts w:ascii="Times New Roman" w:hAnsi="Times New Roman" w:cs="Times New Roman"/>
          <w:sz w:val="24"/>
          <w:szCs w:val="24"/>
        </w:rPr>
        <w:t xml:space="preserve">  This argument was refuted by Dr. Doherty in his rebuttal report.</w:t>
      </w:r>
      <w:r>
        <w:rPr>
          <w:rStyle w:val="EndnoteReference"/>
          <w:rFonts w:ascii="Times New Roman" w:hAnsi="Times New Roman" w:cs="Times New Roman"/>
          <w:sz w:val="24"/>
          <w:szCs w:val="24"/>
        </w:rPr>
        <w:endnoteReference w:id="129"/>
      </w:r>
    </w:p>
    <w:p w14:paraId="71A851E6" w14:textId="1D4FA9EB" w:rsidR="000A2139" w:rsidRDefault="000A2139" w:rsidP="00AD651C">
      <w:pPr>
        <w:spacing w:after="0" w:line="240" w:lineRule="auto"/>
        <w:rPr>
          <w:rFonts w:ascii="Times New Roman" w:hAnsi="Times New Roman" w:cs="Times New Roman"/>
          <w:sz w:val="24"/>
          <w:szCs w:val="24"/>
        </w:rPr>
      </w:pPr>
      <w:r>
        <w:rPr>
          <w:rFonts w:ascii="Times New Roman" w:hAnsi="Times New Roman" w:cs="Times New Roman"/>
          <w:sz w:val="24"/>
          <w:szCs w:val="24"/>
        </w:rPr>
        <w:br/>
        <w:t>Fourthly, PoolRe was a non-party below, and as such, its business purpose was not a litigated issue at trial.  The government did not seek discovery from this non-party.  For the Court to make a ruling by going outside the record against a non-</w:t>
      </w:r>
      <w:r w:rsidRPr="005A10FB">
        <w:rPr>
          <w:rFonts w:ascii="Times New Roman" w:hAnsi="Times New Roman" w:cs="Times New Roman"/>
          <w:sz w:val="24"/>
          <w:szCs w:val="24"/>
        </w:rPr>
        <w:t>party on a non-issue is clear</w:t>
      </w:r>
      <w:r>
        <w:rPr>
          <w:rFonts w:ascii="Times New Roman" w:hAnsi="Times New Roman" w:cs="Times New Roman"/>
          <w:sz w:val="24"/>
          <w:szCs w:val="24"/>
        </w:rPr>
        <w:t xml:space="preserve"> error.  No </w:t>
      </w:r>
      <w:r w:rsidRPr="00C24B38">
        <w:rPr>
          <w:rFonts w:ascii="Times New Roman" w:hAnsi="Times New Roman" w:cs="Times New Roman"/>
          <w:sz w:val="24"/>
          <w:szCs w:val="24"/>
        </w:rPr>
        <w:t xml:space="preserve">testimony </w:t>
      </w:r>
      <w:r>
        <w:rPr>
          <w:rFonts w:ascii="Times New Roman" w:hAnsi="Times New Roman" w:cs="Times New Roman"/>
          <w:sz w:val="24"/>
          <w:szCs w:val="24"/>
        </w:rPr>
        <w:t xml:space="preserve">or evidence supports </w:t>
      </w:r>
      <w:r w:rsidRPr="00C24B38">
        <w:rPr>
          <w:rFonts w:ascii="Times New Roman" w:hAnsi="Times New Roman" w:cs="Times New Roman"/>
          <w:sz w:val="24"/>
          <w:szCs w:val="24"/>
        </w:rPr>
        <w:t xml:space="preserve">the Court’s </w:t>
      </w:r>
      <w:r>
        <w:rPr>
          <w:rFonts w:ascii="Times New Roman" w:hAnsi="Times New Roman" w:cs="Times New Roman"/>
          <w:sz w:val="24"/>
          <w:szCs w:val="24"/>
        </w:rPr>
        <w:t xml:space="preserve">position </w:t>
      </w:r>
      <w:r w:rsidRPr="00C24B38">
        <w:rPr>
          <w:rFonts w:ascii="Times New Roman" w:hAnsi="Times New Roman" w:cs="Times New Roman"/>
          <w:sz w:val="24"/>
          <w:szCs w:val="24"/>
        </w:rPr>
        <w:t xml:space="preserve">that the only purpose served by </w:t>
      </w:r>
      <w:r>
        <w:rPr>
          <w:rFonts w:ascii="Times New Roman" w:hAnsi="Times New Roman" w:cs="Times New Roman"/>
          <w:sz w:val="24"/>
          <w:szCs w:val="24"/>
        </w:rPr>
        <w:t xml:space="preserve">non-party </w:t>
      </w:r>
      <w:r w:rsidRPr="00C24B38">
        <w:rPr>
          <w:rFonts w:ascii="Times New Roman" w:hAnsi="Times New Roman" w:cs="Times New Roman"/>
          <w:sz w:val="24"/>
          <w:szCs w:val="24"/>
        </w:rPr>
        <w:t xml:space="preserve">PoolRe was to shift taxable income </w:t>
      </w:r>
      <w:r w:rsidRPr="0019512E">
        <w:rPr>
          <w:rFonts w:ascii="Times New Roman" w:hAnsi="Times New Roman" w:cs="Times New Roman"/>
          <w:sz w:val="24"/>
          <w:szCs w:val="24"/>
        </w:rPr>
        <w:t>from Peak to Reserve.  Nonetheless, before the Court was one of the business purposes of PoolRe, which was to provide the blending and pooling of risk which was not controverted.  The Court erred both in reaching this conclusion and in imposing a requirement for the first time that non-party PoolRe</w:t>
      </w:r>
      <w:r>
        <w:rPr>
          <w:rFonts w:ascii="Times New Roman" w:hAnsi="Times New Roman" w:cs="Times New Roman"/>
          <w:sz w:val="24"/>
          <w:szCs w:val="24"/>
        </w:rPr>
        <w:t xml:space="preserve"> had to demonstrate a nontax purpose either overall or on a line of business by line of business basis as a condition of Reserve being an insurer.</w:t>
      </w:r>
    </w:p>
    <w:p w14:paraId="78694DBF" w14:textId="7AD88DCC" w:rsidR="000A2139" w:rsidRDefault="000A2139" w:rsidP="00AD651C">
      <w:pPr>
        <w:spacing w:after="0" w:line="240" w:lineRule="auto"/>
        <w:rPr>
          <w:rFonts w:ascii="Times New Roman" w:hAnsi="Times New Roman" w:cs="Times New Roman"/>
          <w:sz w:val="24"/>
          <w:szCs w:val="24"/>
        </w:rPr>
      </w:pPr>
    </w:p>
    <w:p w14:paraId="15D38689" w14:textId="4418A16C" w:rsidR="000A2139" w:rsidRDefault="000A2139" w:rsidP="00AD651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As discussed </w:t>
      </w:r>
      <w:r w:rsidRPr="00363AE1">
        <w:rPr>
          <w:rFonts w:ascii="Times New Roman" w:hAnsi="Times New Roman" w:cs="Times New Roman"/>
          <w:sz w:val="24"/>
          <w:szCs w:val="24"/>
        </w:rPr>
        <w:t>previously in Section I of this commentary</w:t>
      </w:r>
      <w:r>
        <w:rPr>
          <w:rFonts w:ascii="Times New Roman" w:hAnsi="Times New Roman" w:cs="Times New Roman"/>
          <w:sz w:val="24"/>
          <w:szCs w:val="24"/>
        </w:rPr>
        <w:t xml:space="preserve">, </w:t>
      </w:r>
      <w:r w:rsidRPr="00B60C5D">
        <w:rPr>
          <w:rFonts w:ascii="Times New Roman" w:hAnsi="Times New Roman" w:cs="Times New Roman"/>
          <w:sz w:val="24"/>
          <w:szCs w:val="24"/>
        </w:rPr>
        <w:t>the Court</w:t>
      </w:r>
      <w:r>
        <w:rPr>
          <w:rFonts w:ascii="Times New Roman" w:hAnsi="Times New Roman" w:cs="Times New Roman"/>
          <w:sz w:val="24"/>
          <w:szCs w:val="24"/>
        </w:rPr>
        <w:t xml:space="preserve"> was </w:t>
      </w:r>
      <w:r w:rsidRPr="00B60C5D">
        <w:rPr>
          <w:rFonts w:ascii="Times New Roman" w:hAnsi="Times New Roman" w:cs="Times New Roman"/>
          <w:sz w:val="24"/>
          <w:szCs w:val="24"/>
        </w:rPr>
        <w:t xml:space="preserve">erroneous </w:t>
      </w:r>
      <w:r>
        <w:rPr>
          <w:rFonts w:ascii="Times New Roman" w:hAnsi="Times New Roman" w:cs="Times New Roman"/>
          <w:sz w:val="24"/>
          <w:szCs w:val="24"/>
        </w:rPr>
        <w:t xml:space="preserve">in </w:t>
      </w:r>
      <w:r w:rsidRPr="00B60C5D">
        <w:rPr>
          <w:rFonts w:ascii="Times New Roman" w:hAnsi="Times New Roman" w:cs="Times New Roman"/>
          <w:sz w:val="24"/>
          <w:szCs w:val="24"/>
        </w:rPr>
        <w:t>finding that the Reserve insurance arrangement lacked a valid business purpose</w:t>
      </w:r>
      <w:r>
        <w:rPr>
          <w:rFonts w:ascii="Times New Roman" w:hAnsi="Times New Roman" w:cs="Times New Roman"/>
          <w:sz w:val="24"/>
          <w:szCs w:val="24"/>
        </w:rPr>
        <w:t>, and the Court’s conclusion with respect to PoolRe’s business purpose was likewise erroneous.</w:t>
      </w:r>
    </w:p>
    <w:p w14:paraId="2E59CBA0" w14:textId="77777777" w:rsidR="000A2139" w:rsidRDefault="000A2139" w:rsidP="00AD651C">
      <w:pPr>
        <w:spacing w:after="0" w:line="240" w:lineRule="auto"/>
        <w:rPr>
          <w:rFonts w:ascii="Times New Roman" w:hAnsi="Times New Roman" w:cs="Times New Roman"/>
          <w:sz w:val="24"/>
          <w:szCs w:val="24"/>
        </w:rPr>
      </w:pPr>
    </w:p>
    <w:p w14:paraId="75A24842" w14:textId="6EDCF96D" w:rsidR="000A2139" w:rsidRPr="00502B83" w:rsidRDefault="000A2139" w:rsidP="00AD651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summary, </w:t>
      </w:r>
      <w:r w:rsidRPr="00C80470">
        <w:rPr>
          <w:rFonts w:ascii="Times New Roman" w:hAnsi="Times New Roman" w:cs="Times New Roman"/>
          <w:sz w:val="24"/>
          <w:szCs w:val="24"/>
        </w:rPr>
        <w:t xml:space="preserve">the </w:t>
      </w:r>
      <w:r>
        <w:rPr>
          <w:rFonts w:ascii="Times New Roman" w:hAnsi="Times New Roman" w:cs="Times New Roman"/>
          <w:sz w:val="24"/>
          <w:szCs w:val="24"/>
        </w:rPr>
        <w:t>evidence presented at trial did not support the Court’s conclusions with respect to any of the factors that it purported to evaluate in applying the newly introduced “bona fide insurance company” test to non-party PoolRe’s pooling arrangement.</w:t>
      </w:r>
    </w:p>
    <w:p w14:paraId="6DBAF89F" w14:textId="77777777" w:rsidR="000A2139" w:rsidRDefault="000A2139" w:rsidP="00872808">
      <w:pPr>
        <w:spacing w:after="0" w:line="240" w:lineRule="auto"/>
        <w:rPr>
          <w:rFonts w:ascii="Times New Roman" w:hAnsi="Times New Roman" w:cs="Times New Roman"/>
          <w:i/>
          <w:sz w:val="24"/>
          <w:szCs w:val="24"/>
          <w:u w:val="single"/>
        </w:rPr>
      </w:pPr>
    </w:p>
    <w:p w14:paraId="38E0D44A" w14:textId="77777777" w:rsidR="000A2139" w:rsidRPr="006C328E" w:rsidRDefault="000A2139" w:rsidP="006C328E">
      <w:pPr>
        <w:pStyle w:val="Heading2"/>
        <w:spacing w:before="0" w:line="240" w:lineRule="auto"/>
        <w:rPr>
          <w:rFonts w:ascii="Times New Roman" w:hAnsi="Times New Roman" w:cs="Times New Roman"/>
          <w:b/>
          <w:color w:val="auto"/>
          <w:sz w:val="24"/>
          <w:szCs w:val="24"/>
        </w:rPr>
      </w:pPr>
      <w:bookmarkStart w:id="40" w:name="_Toc534366182"/>
      <w:r w:rsidRPr="006C328E">
        <w:rPr>
          <w:rFonts w:ascii="Times New Roman" w:hAnsi="Times New Roman" w:cs="Times New Roman"/>
          <w:b/>
          <w:color w:val="auto"/>
          <w:sz w:val="24"/>
          <w:szCs w:val="24"/>
        </w:rPr>
        <w:t>B.  “Insurance in the Commonly Accepted Sense” – Factors Addressed</w:t>
      </w:r>
      <w:bookmarkEnd w:id="40"/>
    </w:p>
    <w:p w14:paraId="243CDD59" w14:textId="77777777" w:rsidR="000A2139" w:rsidRDefault="000A2139" w:rsidP="00872808">
      <w:pPr>
        <w:spacing w:after="0" w:line="240" w:lineRule="auto"/>
        <w:contextualSpacing/>
        <w:rPr>
          <w:rFonts w:ascii="Times New Roman" w:hAnsi="Times New Roman" w:cs="Times New Roman"/>
          <w:sz w:val="24"/>
          <w:szCs w:val="24"/>
        </w:rPr>
      </w:pPr>
    </w:p>
    <w:p w14:paraId="4E04573A" w14:textId="77777777" w:rsidR="000A2139" w:rsidRDefault="000A2139" w:rsidP="0035751B">
      <w:pPr>
        <w:spacing w:after="0" w:line="240" w:lineRule="auto"/>
        <w:contextualSpacing/>
        <w:rPr>
          <w:rFonts w:ascii="Times New Roman" w:hAnsi="Times New Roman" w:cs="Times New Roman"/>
          <w:sz w:val="24"/>
          <w:szCs w:val="24"/>
        </w:rPr>
      </w:pPr>
      <w:r w:rsidRPr="00D760A6">
        <w:rPr>
          <w:rFonts w:ascii="Times New Roman" w:hAnsi="Times New Roman" w:cs="Times New Roman"/>
          <w:sz w:val="24"/>
          <w:szCs w:val="24"/>
        </w:rPr>
        <w:t>After</w:t>
      </w:r>
      <w:r>
        <w:rPr>
          <w:rFonts w:ascii="Times New Roman" w:hAnsi="Times New Roman" w:cs="Times New Roman"/>
          <w:sz w:val="24"/>
          <w:szCs w:val="24"/>
        </w:rPr>
        <w:t xml:space="preserve"> the Court</w:t>
      </w:r>
      <w:r w:rsidRPr="00D760A6">
        <w:rPr>
          <w:rFonts w:ascii="Times New Roman" w:hAnsi="Times New Roman" w:cs="Times New Roman"/>
          <w:sz w:val="24"/>
          <w:szCs w:val="24"/>
        </w:rPr>
        <w:t xml:space="preserve"> conclud</w:t>
      </w:r>
      <w:r>
        <w:rPr>
          <w:rFonts w:ascii="Times New Roman" w:hAnsi="Times New Roman" w:cs="Times New Roman"/>
          <w:sz w:val="24"/>
          <w:szCs w:val="24"/>
        </w:rPr>
        <w:t>ed</w:t>
      </w:r>
      <w:r w:rsidRPr="00D760A6">
        <w:rPr>
          <w:rFonts w:ascii="Times New Roman" w:hAnsi="Times New Roman" w:cs="Times New Roman"/>
          <w:sz w:val="24"/>
          <w:szCs w:val="24"/>
        </w:rPr>
        <w:t xml:space="preserve"> that PoolRe was not a bona fide insurance company</w:t>
      </w:r>
      <w:r>
        <w:rPr>
          <w:rFonts w:ascii="Times New Roman" w:hAnsi="Times New Roman" w:cs="Times New Roman"/>
          <w:sz w:val="24"/>
          <w:szCs w:val="24"/>
        </w:rPr>
        <w:t xml:space="preserve"> and that the purported reinsurance agreements between PoolRe and Reserve did not allow Reserve to effectively distribute risk, the Court then considered an alternative ground for its holding that the transactions between Reserve and its insureds were not insurance transactions.  This alternative ground evaluated 5 factors to determine whether Reserve’s transactions were “insurance in the commonly accepted sense.”  </w:t>
      </w:r>
      <w:r w:rsidRPr="00E409EF">
        <w:rPr>
          <w:rFonts w:ascii="Times New Roman" w:hAnsi="Times New Roman" w:cs="Times New Roman"/>
          <w:sz w:val="24"/>
          <w:szCs w:val="24"/>
        </w:rPr>
        <w:t xml:space="preserve">Each factor discussed </w:t>
      </w:r>
      <w:r>
        <w:rPr>
          <w:rFonts w:ascii="Times New Roman" w:hAnsi="Times New Roman" w:cs="Times New Roman"/>
          <w:sz w:val="24"/>
          <w:szCs w:val="24"/>
        </w:rPr>
        <w:t xml:space="preserve">by the Court in making this alternative holding </w:t>
      </w:r>
      <w:r w:rsidRPr="00E409EF">
        <w:rPr>
          <w:rFonts w:ascii="Times New Roman" w:hAnsi="Times New Roman" w:cs="Times New Roman"/>
          <w:sz w:val="24"/>
          <w:szCs w:val="24"/>
        </w:rPr>
        <w:t>is analyzed below.</w:t>
      </w:r>
    </w:p>
    <w:p w14:paraId="1793393E" w14:textId="77777777" w:rsidR="000A2139" w:rsidRDefault="000A2139" w:rsidP="0035751B">
      <w:pPr>
        <w:spacing w:after="0" w:line="240" w:lineRule="auto"/>
        <w:contextualSpacing/>
        <w:rPr>
          <w:rFonts w:ascii="Times New Roman" w:hAnsi="Times New Roman" w:cs="Times New Roman"/>
          <w:sz w:val="24"/>
          <w:szCs w:val="24"/>
        </w:rPr>
      </w:pPr>
    </w:p>
    <w:p w14:paraId="0607CBF4" w14:textId="77777777" w:rsidR="000A2139" w:rsidRPr="006C328E" w:rsidRDefault="000A2139" w:rsidP="006C328E">
      <w:pPr>
        <w:pStyle w:val="Heading3"/>
        <w:spacing w:before="0" w:line="240" w:lineRule="auto"/>
        <w:rPr>
          <w:rFonts w:ascii="Times New Roman" w:hAnsi="Times New Roman" w:cs="Times New Roman"/>
          <w:b/>
          <w:color w:val="auto"/>
        </w:rPr>
      </w:pPr>
      <w:bookmarkStart w:id="41" w:name="_Toc534366183"/>
      <w:r w:rsidRPr="006C328E">
        <w:rPr>
          <w:rFonts w:ascii="Times New Roman" w:hAnsi="Times New Roman" w:cs="Times New Roman"/>
          <w:b/>
          <w:color w:val="auto"/>
        </w:rPr>
        <w:t>1. Organization, Operation, and Regulation</w:t>
      </w:r>
      <w:bookmarkEnd w:id="41"/>
    </w:p>
    <w:p w14:paraId="74280D9A" w14:textId="77777777" w:rsidR="000A2139" w:rsidRPr="0035751B" w:rsidRDefault="000A2139" w:rsidP="001B7D9B">
      <w:pPr>
        <w:spacing w:after="0" w:line="240" w:lineRule="auto"/>
        <w:rPr>
          <w:rFonts w:ascii="Times New Roman" w:hAnsi="Times New Roman" w:cs="Times New Roman"/>
          <w:sz w:val="24"/>
          <w:szCs w:val="24"/>
        </w:rPr>
      </w:pPr>
    </w:p>
    <w:p w14:paraId="3F9ED577" w14:textId="77777777" w:rsidR="000A2139" w:rsidRDefault="000A2139" w:rsidP="001B7D9B">
      <w:pPr>
        <w:spacing w:after="0" w:line="240" w:lineRule="auto"/>
        <w:rPr>
          <w:rFonts w:ascii="Times New Roman" w:hAnsi="Times New Roman" w:cs="Times New Roman"/>
          <w:sz w:val="24"/>
          <w:szCs w:val="24"/>
        </w:rPr>
      </w:pPr>
      <w:r>
        <w:rPr>
          <w:rFonts w:ascii="Times New Roman" w:hAnsi="Times New Roman" w:cs="Times New Roman"/>
          <w:sz w:val="24"/>
          <w:szCs w:val="24"/>
        </w:rPr>
        <w:t>T</w:t>
      </w:r>
      <w:r w:rsidRPr="000D14F4">
        <w:rPr>
          <w:rFonts w:ascii="Times New Roman" w:hAnsi="Times New Roman" w:cs="Times New Roman"/>
          <w:sz w:val="24"/>
          <w:szCs w:val="24"/>
        </w:rPr>
        <w:t xml:space="preserve">he Court stated as follows </w:t>
      </w:r>
      <w:r>
        <w:rPr>
          <w:rFonts w:ascii="Times New Roman" w:hAnsi="Times New Roman" w:cs="Times New Roman"/>
          <w:sz w:val="24"/>
          <w:szCs w:val="24"/>
        </w:rPr>
        <w:t>in its discussion of the organization, operation and regulation of Reserve.</w:t>
      </w:r>
    </w:p>
    <w:p w14:paraId="4B700E45" w14:textId="77777777" w:rsidR="000A2139" w:rsidRDefault="000A2139" w:rsidP="001B7D9B">
      <w:pPr>
        <w:spacing w:after="0" w:line="240" w:lineRule="auto"/>
        <w:ind w:left="720"/>
        <w:rPr>
          <w:rFonts w:ascii="Times New Roman" w:hAnsi="Times New Roman" w:cs="Times New Roman"/>
          <w:sz w:val="24"/>
          <w:szCs w:val="24"/>
        </w:rPr>
      </w:pPr>
    </w:p>
    <w:p w14:paraId="24E05751" w14:textId="77777777" w:rsidR="000A2139" w:rsidRDefault="000A2139" w:rsidP="001B7D9B">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w:t>
      </w:r>
      <w:r w:rsidRPr="001B7D9B">
        <w:rPr>
          <w:rFonts w:ascii="Times New Roman" w:hAnsi="Times New Roman" w:cs="Times New Roman"/>
          <w:b/>
          <w:i/>
          <w:sz w:val="24"/>
          <w:szCs w:val="24"/>
        </w:rPr>
        <w:t>Capstone managed both Reserve and PoolRe, and they were both parties to the quota share policies and the coinsurance contracts. Reserve contends that the reinsurance agreements allowed it to distribute risk. However, Reserve did not show that anyone with a financial interest in its operations considered the details of the quota share policies and the coinsurance contracts and considered whether risk was distributed. Zumbaum did not understand the details of Reserve’s operations and relied upon Capstone</w:t>
      </w:r>
      <w:r>
        <w:rPr>
          <w:rFonts w:ascii="Times New Roman" w:hAnsi="Times New Roman" w:cs="Times New Roman"/>
          <w:b/>
          <w:i/>
          <w:sz w:val="24"/>
          <w:szCs w:val="24"/>
        </w:rPr>
        <w:t>’</w:t>
      </w:r>
      <w:r w:rsidRPr="001B7D9B">
        <w:rPr>
          <w:rFonts w:ascii="Times New Roman" w:hAnsi="Times New Roman" w:cs="Times New Roman"/>
          <w:b/>
          <w:i/>
          <w:sz w:val="24"/>
          <w:szCs w:val="24"/>
        </w:rPr>
        <w:t>s advice. There is no evidence that Reserve engaged in any due diligence to determine whether it was adequately distributing risk</w:t>
      </w:r>
      <w:r w:rsidRPr="00555056">
        <w:rPr>
          <w:rFonts w:ascii="Times New Roman" w:hAnsi="Times New Roman" w:cs="Times New Roman"/>
          <w:sz w:val="24"/>
          <w:szCs w:val="24"/>
        </w:rPr>
        <w:t>.</w:t>
      </w:r>
      <w:r>
        <w:rPr>
          <w:rFonts w:ascii="Times New Roman" w:hAnsi="Times New Roman" w:cs="Times New Roman"/>
          <w:sz w:val="24"/>
          <w:szCs w:val="24"/>
        </w:rPr>
        <w:t>”</w:t>
      </w:r>
      <w:r>
        <w:rPr>
          <w:rStyle w:val="EndnoteReference"/>
          <w:rFonts w:ascii="Times New Roman" w:hAnsi="Times New Roman" w:cs="Times New Roman"/>
          <w:sz w:val="24"/>
          <w:szCs w:val="24"/>
        </w:rPr>
        <w:endnoteReference w:id="130"/>
      </w:r>
    </w:p>
    <w:p w14:paraId="4D8287A1" w14:textId="77777777" w:rsidR="000A2139" w:rsidRDefault="000A2139" w:rsidP="00AD1CFA">
      <w:pPr>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239A1716" w14:textId="77777777" w:rsidR="000A2139" w:rsidRDefault="000A2139" w:rsidP="005A1577">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w:t>
      </w:r>
      <w:r w:rsidRPr="005A1577">
        <w:rPr>
          <w:rFonts w:ascii="Times New Roman" w:hAnsi="Times New Roman" w:cs="Times New Roman"/>
          <w:b/>
          <w:i/>
          <w:sz w:val="24"/>
          <w:szCs w:val="24"/>
        </w:rPr>
        <w:t>In reality the interested parties to Reserve</w:t>
      </w:r>
      <w:r>
        <w:rPr>
          <w:rFonts w:ascii="Times New Roman" w:hAnsi="Times New Roman" w:cs="Times New Roman"/>
          <w:b/>
          <w:i/>
          <w:sz w:val="24"/>
          <w:szCs w:val="24"/>
        </w:rPr>
        <w:t>’</w:t>
      </w:r>
      <w:r w:rsidRPr="005A1577">
        <w:rPr>
          <w:rFonts w:ascii="Times New Roman" w:hAnsi="Times New Roman" w:cs="Times New Roman"/>
          <w:b/>
          <w:i/>
          <w:sz w:val="24"/>
          <w:szCs w:val="24"/>
        </w:rPr>
        <w:t xml:space="preserve">s insurance transactions did not participate in structuring or executing those transactions; little or no due diligence was performed with respect to the direct written policies or the reinsurance agreements; and </w:t>
      </w:r>
      <w:bookmarkStart w:id="42" w:name="_Hlk528163267"/>
      <w:r w:rsidRPr="005A1577">
        <w:rPr>
          <w:rFonts w:ascii="Times New Roman" w:hAnsi="Times New Roman" w:cs="Times New Roman"/>
          <w:b/>
          <w:i/>
          <w:sz w:val="24"/>
          <w:szCs w:val="24"/>
        </w:rPr>
        <w:t>for all of the tax years in issue only one claim was filed under Reserve</w:t>
      </w:r>
      <w:r>
        <w:rPr>
          <w:rFonts w:ascii="Times New Roman" w:hAnsi="Times New Roman" w:cs="Times New Roman"/>
          <w:b/>
          <w:i/>
          <w:sz w:val="24"/>
          <w:szCs w:val="24"/>
        </w:rPr>
        <w:t>’</w:t>
      </w:r>
      <w:r w:rsidRPr="005A1577">
        <w:rPr>
          <w:rFonts w:ascii="Times New Roman" w:hAnsi="Times New Roman" w:cs="Times New Roman"/>
          <w:b/>
          <w:i/>
          <w:sz w:val="24"/>
          <w:szCs w:val="24"/>
        </w:rPr>
        <w:t>s policies, and that claim was handled in an irregular manner.</w:t>
      </w:r>
      <w:bookmarkEnd w:id="42"/>
      <w:r w:rsidRPr="005A1577">
        <w:rPr>
          <w:rFonts w:ascii="Times New Roman" w:hAnsi="Times New Roman" w:cs="Times New Roman"/>
          <w:b/>
          <w:i/>
          <w:sz w:val="24"/>
          <w:szCs w:val="24"/>
        </w:rPr>
        <w:t xml:space="preserve"> Capstone directed Reserve</w:t>
      </w:r>
      <w:r>
        <w:rPr>
          <w:rFonts w:ascii="Times New Roman" w:hAnsi="Times New Roman" w:cs="Times New Roman"/>
          <w:b/>
          <w:i/>
          <w:sz w:val="24"/>
          <w:szCs w:val="24"/>
        </w:rPr>
        <w:t>’</w:t>
      </w:r>
      <w:r w:rsidRPr="005A1577">
        <w:rPr>
          <w:rFonts w:ascii="Times New Roman" w:hAnsi="Times New Roman" w:cs="Times New Roman"/>
          <w:b/>
          <w:i/>
          <w:sz w:val="24"/>
          <w:szCs w:val="24"/>
        </w:rPr>
        <w:t>s activities and directed a series of transactions between its managed entities so that Reserve appeared to be engaged in the business of issuing insurance contracts. The facts establish that Reserve was not operated as an insurance company in the commonly accepted sense</w:t>
      </w:r>
      <w:r w:rsidRPr="00AD1CFA">
        <w:rPr>
          <w:rFonts w:ascii="Times New Roman" w:hAnsi="Times New Roman" w:cs="Times New Roman"/>
          <w:sz w:val="24"/>
          <w:szCs w:val="24"/>
        </w:rPr>
        <w:t>.</w:t>
      </w:r>
      <w:r>
        <w:rPr>
          <w:rFonts w:ascii="Times New Roman" w:hAnsi="Times New Roman" w:cs="Times New Roman"/>
          <w:sz w:val="24"/>
          <w:szCs w:val="24"/>
        </w:rPr>
        <w:t>”</w:t>
      </w:r>
      <w:r>
        <w:rPr>
          <w:rStyle w:val="EndnoteReference"/>
          <w:rFonts w:ascii="Times New Roman" w:hAnsi="Times New Roman" w:cs="Times New Roman"/>
          <w:sz w:val="24"/>
          <w:szCs w:val="24"/>
        </w:rPr>
        <w:endnoteReference w:id="131"/>
      </w:r>
    </w:p>
    <w:p w14:paraId="69747A89" w14:textId="77777777" w:rsidR="000A2139" w:rsidRDefault="000A2139" w:rsidP="00AC1EF1">
      <w:pPr>
        <w:spacing w:after="0" w:line="240" w:lineRule="auto"/>
        <w:rPr>
          <w:rFonts w:ascii="Times New Roman" w:hAnsi="Times New Roman" w:cs="Times New Roman"/>
          <w:sz w:val="24"/>
          <w:szCs w:val="24"/>
        </w:rPr>
      </w:pPr>
    </w:p>
    <w:p w14:paraId="348DC7EA" w14:textId="77777777" w:rsidR="000A2139" w:rsidRDefault="000A2139" w:rsidP="00836DF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As reflected in the above two paragraphs, in finding this factor to be lacking, the </w:t>
      </w:r>
      <w:r w:rsidRPr="0080421B">
        <w:rPr>
          <w:rFonts w:ascii="Times New Roman" w:hAnsi="Times New Roman" w:cs="Times New Roman"/>
          <w:sz w:val="24"/>
          <w:szCs w:val="24"/>
        </w:rPr>
        <w:t>Court focus</w:t>
      </w:r>
      <w:r>
        <w:rPr>
          <w:rFonts w:ascii="Times New Roman" w:hAnsi="Times New Roman" w:cs="Times New Roman"/>
          <w:sz w:val="24"/>
          <w:szCs w:val="24"/>
        </w:rPr>
        <w:t>ed</w:t>
      </w:r>
      <w:r w:rsidRPr="0080421B">
        <w:rPr>
          <w:rFonts w:ascii="Times New Roman" w:hAnsi="Times New Roman" w:cs="Times New Roman"/>
          <w:sz w:val="24"/>
          <w:szCs w:val="24"/>
        </w:rPr>
        <w:t xml:space="preserve"> on: (1) Capstone</w:t>
      </w:r>
      <w:r>
        <w:rPr>
          <w:rFonts w:ascii="Times New Roman" w:hAnsi="Times New Roman" w:cs="Times New Roman"/>
          <w:sz w:val="24"/>
          <w:szCs w:val="24"/>
        </w:rPr>
        <w:t>’s</w:t>
      </w:r>
      <w:r w:rsidRPr="0080421B">
        <w:rPr>
          <w:rFonts w:ascii="Times New Roman" w:hAnsi="Times New Roman" w:cs="Times New Roman"/>
          <w:sz w:val="24"/>
          <w:szCs w:val="24"/>
        </w:rPr>
        <w:t xml:space="preserve"> </w:t>
      </w:r>
      <w:r>
        <w:rPr>
          <w:rFonts w:ascii="Times New Roman" w:hAnsi="Times New Roman" w:cs="Times New Roman"/>
          <w:sz w:val="24"/>
          <w:szCs w:val="24"/>
        </w:rPr>
        <w:t xml:space="preserve">directing </w:t>
      </w:r>
      <w:r w:rsidRPr="0080421B">
        <w:rPr>
          <w:rFonts w:ascii="Times New Roman" w:hAnsi="Times New Roman" w:cs="Times New Roman"/>
          <w:sz w:val="24"/>
          <w:szCs w:val="24"/>
        </w:rPr>
        <w:t>Reserve’s activities</w:t>
      </w:r>
      <w:r>
        <w:rPr>
          <w:rFonts w:ascii="Times New Roman" w:hAnsi="Times New Roman" w:cs="Times New Roman"/>
          <w:sz w:val="24"/>
          <w:szCs w:val="24"/>
        </w:rPr>
        <w:t xml:space="preserve">, </w:t>
      </w:r>
      <w:r w:rsidRPr="0080421B">
        <w:rPr>
          <w:rFonts w:ascii="Times New Roman" w:hAnsi="Times New Roman" w:cs="Times New Roman"/>
          <w:sz w:val="24"/>
          <w:szCs w:val="24"/>
        </w:rPr>
        <w:t>(2) Reserve’s owners not participat</w:t>
      </w:r>
      <w:r>
        <w:rPr>
          <w:rFonts w:ascii="Times New Roman" w:hAnsi="Times New Roman" w:cs="Times New Roman"/>
          <w:sz w:val="24"/>
          <w:szCs w:val="24"/>
        </w:rPr>
        <w:t xml:space="preserve">ing </w:t>
      </w:r>
      <w:r w:rsidRPr="0080421B">
        <w:rPr>
          <w:rFonts w:ascii="Times New Roman" w:hAnsi="Times New Roman" w:cs="Times New Roman"/>
          <w:sz w:val="24"/>
          <w:szCs w:val="24"/>
        </w:rPr>
        <w:t xml:space="preserve">in structuring or executing Reserve’s insurance transactions, and (3) </w:t>
      </w:r>
      <w:r>
        <w:rPr>
          <w:rFonts w:ascii="Times New Roman" w:hAnsi="Times New Roman" w:cs="Times New Roman"/>
          <w:sz w:val="24"/>
          <w:szCs w:val="24"/>
        </w:rPr>
        <w:t>the Court viewing there being “</w:t>
      </w:r>
      <w:r w:rsidRPr="0080421B">
        <w:rPr>
          <w:rFonts w:ascii="Times New Roman" w:hAnsi="Times New Roman" w:cs="Times New Roman"/>
          <w:sz w:val="24"/>
          <w:szCs w:val="24"/>
        </w:rPr>
        <w:t>little or no due diligence performed</w:t>
      </w:r>
      <w:r>
        <w:rPr>
          <w:rFonts w:ascii="Times New Roman" w:hAnsi="Times New Roman" w:cs="Times New Roman"/>
          <w:sz w:val="24"/>
          <w:szCs w:val="24"/>
        </w:rPr>
        <w:t>”</w:t>
      </w:r>
      <w:r w:rsidRPr="0080421B">
        <w:rPr>
          <w:rFonts w:ascii="Times New Roman" w:hAnsi="Times New Roman" w:cs="Times New Roman"/>
          <w:sz w:val="24"/>
          <w:szCs w:val="24"/>
        </w:rPr>
        <w:t xml:space="preserve"> </w:t>
      </w:r>
      <w:r>
        <w:rPr>
          <w:rFonts w:ascii="Times New Roman" w:hAnsi="Times New Roman" w:cs="Times New Roman"/>
          <w:sz w:val="24"/>
          <w:szCs w:val="24"/>
        </w:rPr>
        <w:t xml:space="preserve">by Reserve’s owners </w:t>
      </w:r>
      <w:r w:rsidRPr="0080421B">
        <w:rPr>
          <w:rFonts w:ascii="Times New Roman" w:hAnsi="Times New Roman" w:cs="Times New Roman"/>
          <w:sz w:val="24"/>
          <w:szCs w:val="24"/>
        </w:rPr>
        <w:t>with respect to Reserve’s direct written policies or reinsurance agreements.</w:t>
      </w:r>
    </w:p>
    <w:p w14:paraId="3E3B364C" w14:textId="77777777" w:rsidR="000A2139" w:rsidRDefault="000A2139" w:rsidP="00836DF8">
      <w:pPr>
        <w:spacing w:after="0" w:line="240" w:lineRule="auto"/>
        <w:rPr>
          <w:rFonts w:ascii="Times New Roman" w:hAnsi="Times New Roman" w:cs="Times New Roman"/>
          <w:sz w:val="24"/>
          <w:szCs w:val="24"/>
        </w:rPr>
      </w:pPr>
    </w:p>
    <w:p w14:paraId="009ED6BB" w14:textId="77777777" w:rsidR="000A2139" w:rsidRDefault="000A2139" w:rsidP="004410E2">
      <w:pPr>
        <w:spacing w:after="0" w:line="240" w:lineRule="auto"/>
        <w:rPr>
          <w:rFonts w:ascii="Times New Roman" w:hAnsi="Times New Roman" w:cs="Times New Roman"/>
          <w:sz w:val="24"/>
          <w:szCs w:val="24"/>
        </w:rPr>
      </w:pPr>
      <w:r>
        <w:rPr>
          <w:rFonts w:ascii="Times New Roman" w:hAnsi="Times New Roman" w:cs="Times New Roman"/>
          <w:sz w:val="24"/>
          <w:szCs w:val="24"/>
        </w:rPr>
        <w:t>The Court misstates the role of Capstone, which does not independently “manage” these companies in place of its owners.  Capstone administers these companies on behalf of and at the direction of its management and board of directors.</w:t>
      </w:r>
      <w:r>
        <w:rPr>
          <w:rStyle w:val="EndnoteReference"/>
          <w:rFonts w:ascii="Times New Roman" w:hAnsi="Times New Roman" w:cs="Times New Roman"/>
          <w:sz w:val="24"/>
          <w:szCs w:val="24"/>
        </w:rPr>
        <w:endnoteReference w:id="132"/>
      </w:r>
      <w:r>
        <w:rPr>
          <w:rFonts w:ascii="Times New Roman" w:hAnsi="Times New Roman" w:cs="Times New Roman"/>
          <w:sz w:val="24"/>
          <w:szCs w:val="24"/>
        </w:rPr>
        <w:t xml:space="preserve">  Rather than focusing on the testimony of the relevant witnesses at trial regarding the operations actually conducted by Reserve, which its owners specifically engaged its captive manager to handle at the management’s, board’s and owners’ direction,</w:t>
      </w:r>
      <w:r>
        <w:rPr>
          <w:rStyle w:val="EndnoteReference"/>
          <w:rFonts w:ascii="Times New Roman" w:hAnsi="Times New Roman" w:cs="Times New Roman"/>
          <w:sz w:val="24"/>
          <w:szCs w:val="24"/>
        </w:rPr>
        <w:endnoteReference w:id="133"/>
      </w:r>
      <w:r>
        <w:rPr>
          <w:rFonts w:ascii="Times New Roman" w:hAnsi="Times New Roman" w:cs="Times New Roman"/>
          <w:sz w:val="24"/>
          <w:szCs w:val="24"/>
        </w:rPr>
        <w:t xml:space="preserve"> the Court criticized Reserve for relying on Capstone with respect to its operational matters, implying that Reserve’s owners must personally identify coverages, structure reinsurance transactions, diversify risk among third parties, etc., rather than drawing on a professional team.  </w:t>
      </w:r>
      <w:r w:rsidRPr="00887553">
        <w:rPr>
          <w:rFonts w:ascii="Times New Roman" w:hAnsi="Times New Roman" w:cs="Times New Roman"/>
          <w:sz w:val="24"/>
          <w:szCs w:val="24"/>
        </w:rPr>
        <w:t xml:space="preserve">The Court imposed an unprecedented requirement that a captive owner must understand insurance and the captive program rather than </w:t>
      </w:r>
      <w:r>
        <w:rPr>
          <w:rFonts w:ascii="Times New Roman" w:hAnsi="Times New Roman" w:cs="Times New Roman"/>
          <w:sz w:val="24"/>
          <w:szCs w:val="24"/>
        </w:rPr>
        <w:t>drawing from professional advisors.  T</w:t>
      </w:r>
      <w:r w:rsidRPr="00881084">
        <w:rPr>
          <w:rFonts w:ascii="Times New Roman" w:hAnsi="Times New Roman" w:cs="Times New Roman"/>
          <w:sz w:val="24"/>
          <w:szCs w:val="24"/>
        </w:rPr>
        <w:t xml:space="preserve">he Court </w:t>
      </w:r>
      <w:r>
        <w:rPr>
          <w:rFonts w:ascii="Times New Roman" w:hAnsi="Times New Roman" w:cs="Times New Roman"/>
          <w:sz w:val="24"/>
          <w:szCs w:val="24"/>
        </w:rPr>
        <w:t xml:space="preserve">is </w:t>
      </w:r>
      <w:r w:rsidRPr="00881084">
        <w:rPr>
          <w:rFonts w:ascii="Times New Roman" w:hAnsi="Times New Roman" w:cs="Times New Roman"/>
          <w:sz w:val="24"/>
          <w:szCs w:val="24"/>
        </w:rPr>
        <w:t>impos</w:t>
      </w:r>
      <w:r>
        <w:rPr>
          <w:rFonts w:ascii="Times New Roman" w:hAnsi="Times New Roman" w:cs="Times New Roman"/>
          <w:sz w:val="24"/>
          <w:szCs w:val="24"/>
        </w:rPr>
        <w:t>ing</w:t>
      </w:r>
      <w:r w:rsidRPr="00881084">
        <w:rPr>
          <w:rFonts w:ascii="Times New Roman" w:hAnsi="Times New Roman" w:cs="Times New Roman"/>
          <w:sz w:val="24"/>
          <w:szCs w:val="24"/>
        </w:rPr>
        <w:t xml:space="preserve"> a higher standard on the captive-manager/captive-owner relationship than other usual and customary professional management relationships between an independent contractor and its client</w:t>
      </w:r>
      <w:r>
        <w:rPr>
          <w:rFonts w:ascii="Times New Roman" w:hAnsi="Times New Roman" w:cs="Times New Roman"/>
          <w:sz w:val="24"/>
          <w:szCs w:val="24"/>
        </w:rPr>
        <w:t>.</w:t>
      </w:r>
      <w:r>
        <w:rPr>
          <w:rStyle w:val="EndnoteReference"/>
          <w:rFonts w:ascii="Times New Roman" w:hAnsi="Times New Roman" w:cs="Times New Roman"/>
          <w:sz w:val="24"/>
          <w:szCs w:val="24"/>
        </w:rPr>
        <w:endnoteReference w:id="134"/>
      </w:r>
    </w:p>
    <w:p w14:paraId="68A08498" w14:textId="77777777" w:rsidR="000A2139" w:rsidRDefault="000A2139" w:rsidP="004410E2">
      <w:pPr>
        <w:spacing w:after="0" w:line="240" w:lineRule="auto"/>
        <w:rPr>
          <w:rFonts w:ascii="Times New Roman" w:hAnsi="Times New Roman" w:cs="Times New Roman"/>
          <w:sz w:val="24"/>
          <w:szCs w:val="24"/>
        </w:rPr>
      </w:pPr>
    </w:p>
    <w:p w14:paraId="710BB20E" w14:textId="7D458FB0" w:rsidR="000A2139" w:rsidRDefault="000A2139" w:rsidP="00CD1464">
      <w:pPr>
        <w:spacing w:after="0" w:line="240" w:lineRule="auto"/>
        <w:rPr>
          <w:rFonts w:ascii="Times New Roman" w:hAnsi="Times New Roman" w:cs="Times New Roman"/>
          <w:sz w:val="24"/>
          <w:szCs w:val="24"/>
        </w:rPr>
      </w:pPr>
      <w:r>
        <w:rPr>
          <w:rFonts w:ascii="Times New Roman" w:hAnsi="Times New Roman" w:cs="Times New Roman"/>
          <w:sz w:val="24"/>
          <w:szCs w:val="24"/>
        </w:rPr>
        <w:t>In evaluating this factor, the Court brushed aside the testimony at trial that Reserve was both operated and regulated like an insurance company.  The witnesses testifying regarding the organization, operation and regulation of Reserve included the following:</w:t>
      </w:r>
    </w:p>
    <w:p w14:paraId="68BAAB89" w14:textId="77777777" w:rsidR="000A2139" w:rsidRDefault="000A2139" w:rsidP="00CD1464">
      <w:pPr>
        <w:spacing w:after="0" w:line="240" w:lineRule="auto"/>
        <w:rPr>
          <w:rFonts w:ascii="Times New Roman" w:hAnsi="Times New Roman" w:cs="Times New Roman"/>
          <w:sz w:val="24"/>
          <w:szCs w:val="24"/>
        </w:rPr>
      </w:pPr>
    </w:p>
    <w:p w14:paraId="5C5388B3" w14:textId="77777777" w:rsidR="000A2139" w:rsidRDefault="000A2139" w:rsidP="00E428C6">
      <w:pPr>
        <w:pStyle w:val="ListParagraph"/>
        <w:numPr>
          <w:ilvl w:val="0"/>
          <w:numId w:val="45"/>
        </w:numPr>
        <w:spacing w:after="0" w:line="240" w:lineRule="auto"/>
        <w:rPr>
          <w:rFonts w:ascii="Times New Roman" w:hAnsi="Times New Roman" w:cs="Times New Roman"/>
          <w:sz w:val="24"/>
          <w:szCs w:val="24"/>
        </w:rPr>
      </w:pPr>
      <w:r w:rsidRPr="00E428C6">
        <w:rPr>
          <w:rFonts w:ascii="Times New Roman" w:hAnsi="Times New Roman" w:cs="Times New Roman"/>
          <w:sz w:val="24"/>
          <w:szCs w:val="24"/>
        </w:rPr>
        <w:lastRenderedPageBreak/>
        <w:t xml:space="preserve">Robert Snyder, an industry expert, </w:t>
      </w:r>
      <w:r>
        <w:rPr>
          <w:rFonts w:ascii="Times New Roman" w:hAnsi="Times New Roman" w:cs="Times New Roman"/>
          <w:sz w:val="24"/>
          <w:szCs w:val="24"/>
        </w:rPr>
        <w:t xml:space="preserve">who </w:t>
      </w:r>
      <w:r w:rsidRPr="00E428C6">
        <w:rPr>
          <w:rFonts w:ascii="Times New Roman" w:hAnsi="Times New Roman" w:cs="Times New Roman"/>
          <w:sz w:val="24"/>
          <w:szCs w:val="24"/>
        </w:rPr>
        <w:t>testified that</w:t>
      </w:r>
      <w:r>
        <w:rPr>
          <w:rFonts w:ascii="Times New Roman" w:hAnsi="Times New Roman" w:cs="Times New Roman"/>
          <w:sz w:val="24"/>
          <w:szCs w:val="24"/>
        </w:rPr>
        <w:t xml:space="preserve"> </w:t>
      </w:r>
      <w:r w:rsidRPr="00E428C6">
        <w:rPr>
          <w:rFonts w:ascii="Times New Roman" w:hAnsi="Times New Roman" w:cs="Times New Roman"/>
          <w:sz w:val="24"/>
          <w:szCs w:val="24"/>
        </w:rPr>
        <w:t xml:space="preserve"> </w:t>
      </w:r>
      <w:r w:rsidRPr="00711CD1">
        <w:rPr>
          <w:rFonts w:ascii="Times New Roman" w:hAnsi="Times New Roman" w:cs="Times New Roman"/>
          <w:sz w:val="24"/>
          <w:szCs w:val="24"/>
        </w:rPr>
        <w:t>Reserve</w:t>
      </w:r>
      <w:r>
        <w:rPr>
          <w:rFonts w:ascii="Times New Roman" w:hAnsi="Times New Roman" w:cs="Times New Roman"/>
          <w:sz w:val="24"/>
          <w:szCs w:val="24"/>
        </w:rPr>
        <w:t>’</w:t>
      </w:r>
      <w:r w:rsidRPr="00711CD1">
        <w:rPr>
          <w:rFonts w:ascii="Times New Roman" w:hAnsi="Times New Roman" w:cs="Times New Roman"/>
          <w:sz w:val="24"/>
          <w:szCs w:val="24"/>
        </w:rPr>
        <w:t>s operations were consistent with those of a property and casualty</w:t>
      </w:r>
      <w:r>
        <w:rPr>
          <w:rFonts w:ascii="Times New Roman" w:hAnsi="Times New Roman" w:cs="Times New Roman"/>
          <w:sz w:val="24"/>
          <w:szCs w:val="24"/>
        </w:rPr>
        <w:t xml:space="preserve"> </w:t>
      </w:r>
      <w:r w:rsidRPr="00E428C6">
        <w:rPr>
          <w:rFonts w:ascii="Times New Roman" w:hAnsi="Times New Roman" w:cs="Times New Roman"/>
          <w:sz w:val="24"/>
          <w:szCs w:val="24"/>
        </w:rPr>
        <w:t>insurance company operating in a domicile such as Anguilla, because Reserve</w:t>
      </w:r>
      <w:r>
        <w:rPr>
          <w:rFonts w:ascii="Times New Roman" w:hAnsi="Times New Roman" w:cs="Times New Roman"/>
          <w:sz w:val="24"/>
          <w:szCs w:val="24"/>
        </w:rPr>
        <w:t xml:space="preserve"> </w:t>
      </w:r>
      <w:r w:rsidRPr="00E428C6">
        <w:rPr>
          <w:rFonts w:ascii="Times New Roman" w:hAnsi="Times New Roman" w:cs="Times New Roman"/>
          <w:sz w:val="24"/>
          <w:szCs w:val="24"/>
        </w:rPr>
        <w:t>was created, capitalized, and licensed in accordance with the regulations of that</w:t>
      </w:r>
      <w:r>
        <w:rPr>
          <w:rFonts w:ascii="Times New Roman" w:hAnsi="Times New Roman" w:cs="Times New Roman"/>
          <w:sz w:val="24"/>
          <w:szCs w:val="24"/>
        </w:rPr>
        <w:t xml:space="preserve"> </w:t>
      </w:r>
      <w:r w:rsidRPr="00E428C6">
        <w:rPr>
          <w:rFonts w:ascii="Times New Roman" w:hAnsi="Times New Roman" w:cs="Times New Roman"/>
          <w:sz w:val="24"/>
          <w:szCs w:val="24"/>
        </w:rPr>
        <w:t>jurisdiction, and was at all times managed in accordance with sound captive</w:t>
      </w:r>
      <w:r>
        <w:rPr>
          <w:rFonts w:ascii="Times New Roman" w:hAnsi="Times New Roman" w:cs="Times New Roman"/>
          <w:sz w:val="24"/>
          <w:szCs w:val="24"/>
        </w:rPr>
        <w:t xml:space="preserve"> </w:t>
      </w:r>
      <w:r w:rsidRPr="00E428C6">
        <w:rPr>
          <w:rFonts w:ascii="Times New Roman" w:hAnsi="Times New Roman" w:cs="Times New Roman"/>
          <w:sz w:val="24"/>
          <w:szCs w:val="24"/>
        </w:rPr>
        <w:t>insurance industry practice.</w:t>
      </w:r>
      <w:r>
        <w:rPr>
          <w:rStyle w:val="EndnoteReference"/>
          <w:rFonts w:ascii="Times New Roman" w:hAnsi="Times New Roman" w:cs="Times New Roman"/>
          <w:sz w:val="24"/>
          <w:szCs w:val="24"/>
        </w:rPr>
        <w:endnoteReference w:id="135"/>
      </w:r>
    </w:p>
    <w:p w14:paraId="0BB02461" w14:textId="77777777" w:rsidR="000A2139" w:rsidRPr="006A688E" w:rsidRDefault="000A2139" w:rsidP="006A688E">
      <w:pPr>
        <w:spacing w:after="0" w:line="240" w:lineRule="auto"/>
        <w:rPr>
          <w:rFonts w:ascii="Times New Roman" w:hAnsi="Times New Roman" w:cs="Times New Roman"/>
          <w:sz w:val="24"/>
          <w:szCs w:val="24"/>
        </w:rPr>
      </w:pPr>
    </w:p>
    <w:p w14:paraId="7F705F8C" w14:textId="77777777" w:rsidR="000A2139" w:rsidRPr="00E428C6" w:rsidRDefault="000A2139" w:rsidP="00CA16CB">
      <w:pPr>
        <w:pStyle w:val="ListParagraph"/>
        <w:numPr>
          <w:ilvl w:val="0"/>
          <w:numId w:val="45"/>
        </w:numPr>
        <w:spacing w:after="0" w:line="240" w:lineRule="auto"/>
        <w:rPr>
          <w:rFonts w:ascii="Times New Roman" w:hAnsi="Times New Roman" w:cs="Times New Roman"/>
          <w:sz w:val="24"/>
          <w:szCs w:val="24"/>
        </w:rPr>
      </w:pPr>
      <w:r w:rsidRPr="00E428C6">
        <w:rPr>
          <w:rFonts w:ascii="Times New Roman" w:hAnsi="Times New Roman" w:cs="Times New Roman"/>
          <w:sz w:val="24"/>
          <w:szCs w:val="24"/>
        </w:rPr>
        <w:t xml:space="preserve">Steve Kinion, a regulatory expert and Director of the Bureau of Captive and Financial Insurance Products for the Delaware Insurance Department, </w:t>
      </w:r>
      <w:r>
        <w:rPr>
          <w:rFonts w:ascii="Times New Roman" w:hAnsi="Times New Roman" w:cs="Times New Roman"/>
          <w:sz w:val="24"/>
          <w:szCs w:val="24"/>
        </w:rPr>
        <w:t xml:space="preserve">who </w:t>
      </w:r>
      <w:r w:rsidRPr="00E428C6">
        <w:rPr>
          <w:rFonts w:ascii="Times New Roman" w:hAnsi="Times New Roman" w:cs="Times New Roman"/>
          <w:sz w:val="24"/>
          <w:szCs w:val="24"/>
        </w:rPr>
        <w:t>testified that Reserve was organized and regulated as an insurance company</w:t>
      </w:r>
      <w:r>
        <w:rPr>
          <w:rFonts w:ascii="Times New Roman" w:hAnsi="Times New Roman" w:cs="Times New Roman"/>
          <w:sz w:val="24"/>
          <w:szCs w:val="24"/>
        </w:rPr>
        <w:t xml:space="preserve"> because: (1) </w:t>
      </w:r>
      <w:r w:rsidRPr="00CA16CB">
        <w:rPr>
          <w:rFonts w:ascii="Times New Roman" w:hAnsi="Times New Roman" w:cs="Times New Roman"/>
          <w:sz w:val="24"/>
          <w:szCs w:val="24"/>
        </w:rPr>
        <w:t>Anguilla</w:t>
      </w:r>
      <w:r>
        <w:rPr>
          <w:rFonts w:ascii="Times New Roman" w:hAnsi="Times New Roman" w:cs="Times New Roman"/>
          <w:sz w:val="24"/>
          <w:szCs w:val="24"/>
        </w:rPr>
        <w:t>’</w:t>
      </w:r>
      <w:r w:rsidRPr="00CA16CB">
        <w:rPr>
          <w:rFonts w:ascii="Times New Roman" w:hAnsi="Times New Roman" w:cs="Times New Roman"/>
          <w:sz w:val="24"/>
          <w:szCs w:val="24"/>
        </w:rPr>
        <w:t xml:space="preserve">s insurance laws are within the norms for captive insurance laws; </w:t>
      </w:r>
      <w:r>
        <w:rPr>
          <w:rFonts w:ascii="Times New Roman" w:hAnsi="Times New Roman" w:cs="Times New Roman"/>
          <w:sz w:val="24"/>
          <w:szCs w:val="24"/>
        </w:rPr>
        <w:t xml:space="preserve">(2) </w:t>
      </w:r>
      <w:r w:rsidRPr="00CA16CB">
        <w:rPr>
          <w:rFonts w:ascii="Times New Roman" w:hAnsi="Times New Roman" w:cs="Times New Roman"/>
          <w:sz w:val="24"/>
          <w:szCs w:val="24"/>
        </w:rPr>
        <w:t>Reserve was</w:t>
      </w:r>
      <w:r>
        <w:rPr>
          <w:rFonts w:ascii="Times New Roman" w:hAnsi="Times New Roman" w:cs="Times New Roman"/>
          <w:sz w:val="24"/>
          <w:szCs w:val="24"/>
        </w:rPr>
        <w:t xml:space="preserve"> </w:t>
      </w:r>
      <w:r w:rsidRPr="00E428C6">
        <w:rPr>
          <w:rFonts w:ascii="Times New Roman" w:hAnsi="Times New Roman" w:cs="Times New Roman"/>
          <w:sz w:val="24"/>
          <w:szCs w:val="24"/>
        </w:rPr>
        <w:t>regulated in a manner consistent with Anguilla</w:t>
      </w:r>
      <w:r>
        <w:rPr>
          <w:rFonts w:ascii="Times New Roman" w:hAnsi="Times New Roman" w:cs="Times New Roman"/>
          <w:sz w:val="24"/>
          <w:szCs w:val="24"/>
        </w:rPr>
        <w:t>’</w:t>
      </w:r>
      <w:r w:rsidRPr="00E428C6">
        <w:rPr>
          <w:rFonts w:ascii="Times New Roman" w:hAnsi="Times New Roman" w:cs="Times New Roman"/>
          <w:sz w:val="24"/>
          <w:szCs w:val="24"/>
        </w:rPr>
        <w:t xml:space="preserve">s laws; </w:t>
      </w:r>
      <w:r>
        <w:rPr>
          <w:rFonts w:ascii="Times New Roman" w:hAnsi="Times New Roman" w:cs="Times New Roman"/>
          <w:sz w:val="24"/>
          <w:szCs w:val="24"/>
        </w:rPr>
        <w:t xml:space="preserve">(3) </w:t>
      </w:r>
      <w:r w:rsidRPr="00E428C6">
        <w:rPr>
          <w:rFonts w:ascii="Times New Roman" w:hAnsi="Times New Roman" w:cs="Times New Roman"/>
          <w:sz w:val="24"/>
          <w:szCs w:val="24"/>
        </w:rPr>
        <w:t>Reserve</w:t>
      </w:r>
      <w:r>
        <w:rPr>
          <w:rFonts w:ascii="Times New Roman" w:hAnsi="Times New Roman" w:cs="Times New Roman"/>
          <w:sz w:val="24"/>
          <w:szCs w:val="24"/>
        </w:rPr>
        <w:t>’</w:t>
      </w:r>
      <w:r w:rsidRPr="00E428C6">
        <w:rPr>
          <w:rFonts w:ascii="Times New Roman" w:hAnsi="Times New Roman" w:cs="Times New Roman"/>
          <w:sz w:val="24"/>
          <w:szCs w:val="24"/>
        </w:rPr>
        <w:t>s capitalization satisfied</w:t>
      </w:r>
      <w:r>
        <w:rPr>
          <w:rFonts w:ascii="Times New Roman" w:hAnsi="Times New Roman" w:cs="Times New Roman"/>
          <w:sz w:val="24"/>
          <w:szCs w:val="24"/>
        </w:rPr>
        <w:t xml:space="preserve"> </w:t>
      </w:r>
      <w:r w:rsidRPr="00E428C6">
        <w:rPr>
          <w:rFonts w:ascii="Times New Roman" w:hAnsi="Times New Roman" w:cs="Times New Roman"/>
          <w:sz w:val="24"/>
          <w:szCs w:val="24"/>
        </w:rPr>
        <w:t>regulatory norms; and</w:t>
      </w:r>
      <w:r>
        <w:rPr>
          <w:rFonts w:ascii="Times New Roman" w:hAnsi="Times New Roman" w:cs="Times New Roman"/>
          <w:sz w:val="24"/>
          <w:szCs w:val="24"/>
        </w:rPr>
        <w:t xml:space="preserve"> (4) </w:t>
      </w:r>
      <w:r w:rsidRPr="00E428C6">
        <w:rPr>
          <w:rFonts w:ascii="Times New Roman" w:hAnsi="Times New Roman" w:cs="Times New Roman"/>
          <w:sz w:val="24"/>
          <w:szCs w:val="24"/>
        </w:rPr>
        <w:t>the policies issued by Reserve transfer</w:t>
      </w:r>
      <w:r>
        <w:rPr>
          <w:rFonts w:ascii="Times New Roman" w:hAnsi="Times New Roman" w:cs="Times New Roman"/>
          <w:sz w:val="24"/>
          <w:szCs w:val="24"/>
        </w:rPr>
        <w:t>red</w:t>
      </w:r>
      <w:r w:rsidRPr="00E428C6">
        <w:rPr>
          <w:rFonts w:ascii="Times New Roman" w:hAnsi="Times New Roman" w:cs="Times New Roman"/>
          <w:sz w:val="24"/>
          <w:szCs w:val="24"/>
        </w:rPr>
        <w:t xml:space="preserve"> insurance risk</w:t>
      </w:r>
      <w:r>
        <w:rPr>
          <w:rFonts w:ascii="Times New Roman" w:hAnsi="Times New Roman" w:cs="Times New Roman"/>
          <w:sz w:val="24"/>
          <w:szCs w:val="24"/>
        </w:rPr>
        <w:t>.</w:t>
      </w:r>
      <w:r>
        <w:rPr>
          <w:rStyle w:val="EndnoteReference"/>
          <w:rFonts w:ascii="Times New Roman" w:hAnsi="Times New Roman" w:cs="Times New Roman"/>
          <w:sz w:val="24"/>
          <w:szCs w:val="24"/>
        </w:rPr>
        <w:endnoteReference w:id="136"/>
      </w:r>
    </w:p>
    <w:p w14:paraId="150E748C" w14:textId="77777777" w:rsidR="000A2139" w:rsidRPr="00E428C6" w:rsidRDefault="000A2139" w:rsidP="00E428C6">
      <w:pPr>
        <w:spacing w:after="0" w:line="240" w:lineRule="auto"/>
        <w:rPr>
          <w:rFonts w:ascii="Times New Roman" w:hAnsi="Times New Roman" w:cs="Times New Roman"/>
          <w:sz w:val="24"/>
          <w:szCs w:val="24"/>
        </w:rPr>
      </w:pPr>
    </w:p>
    <w:p w14:paraId="6699EDE8" w14:textId="77777777" w:rsidR="000A2139" w:rsidRPr="00E428C6" w:rsidRDefault="000A2139" w:rsidP="00E428C6">
      <w:pPr>
        <w:pStyle w:val="ListParagraph"/>
        <w:numPr>
          <w:ilvl w:val="0"/>
          <w:numId w:val="45"/>
        </w:numPr>
        <w:spacing w:after="0" w:line="240" w:lineRule="auto"/>
        <w:rPr>
          <w:rFonts w:ascii="Times New Roman" w:hAnsi="Times New Roman" w:cs="Times New Roman"/>
          <w:sz w:val="24"/>
          <w:szCs w:val="24"/>
        </w:rPr>
      </w:pPr>
      <w:r w:rsidRPr="00E428C6">
        <w:rPr>
          <w:rFonts w:ascii="Times New Roman" w:hAnsi="Times New Roman" w:cs="Times New Roman"/>
          <w:sz w:val="24"/>
          <w:szCs w:val="24"/>
        </w:rPr>
        <w:t xml:space="preserve">David Liptz, a financial accounting expert, </w:t>
      </w:r>
      <w:r>
        <w:rPr>
          <w:rFonts w:ascii="Times New Roman" w:hAnsi="Times New Roman" w:cs="Times New Roman"/>
          <w:sz w:val="24"/>
          <w:szCs w:val="24"/>
        </w:rPr>
        <w:t xml:space="preserve">who </w:t>
      </w:r>
      <w:r w:rsidRPr="00E428C6">
        <w:rPr>
          <w:rFonts w:ascii="Times New Roman" w:hAnsi="Times New Roman" w:cs="Times New Roman"/>
          <w:sz w:val="24"/>
          <w:szCs w:val="24"/>
        </w:rPr>
        <w:t>testified that</w:t>
      </w:r>
      <w:r>
        <w:rPr>
          <w:rFonts w:ascii="Times New Roman" w:hAnsi="Times New Roman" w:cs="Times New Roman"/>
          <w:sz w:val="24"/>
          <w:szCs w:val="24"/>
        </w:rPr>
        <w:t xml:space="preserve"> </w:t>
      </w:r>
      <w:r w:rsidRPr="00FF69B9">
        <w:rPr>
          <w:rFonts w:ascii="Times New Roman" w:hAnsi="Times New Roman" w:cs="Times New Roman"/>
          <w:sz w:val="24"/>
          <w:szCs w:val="24"/>
        </w:rPr>
        <w:t>Reserve</w:t>
      </w:r>
      <w:r>
        <w:rPr>
          <w:rFonts w:ascii="Times New Roman" w:hAnsi="Times New Roman" w:cs="Times New Roman"/>
          <w:sz w:val="24"/>
          <w:szCs w:val="24"/>
        </w:rPr>
        <w:t>’</w:t>
      </w:r>
      <w:r w:rsidRPr="00FF69B9">
        <w:rPr>
          <w:rFonts w:ascii="Times New Roman" w:hAnsi="Times New Roman" w:cs="Times New Roman"/>
          <w:sz w:val="24"/>
          <w:szCs w:val="24"/>
        </w:rPr>
        <w:t xml:space="preserve">s use of insurance accounting was proper and </w:t>
      </w:r>
      <w:r>
        <w:rPr>
          <w:rFonts w:ascii="Times New Roman" w:hAnsi="Times New Roman" w:cs="Times New Roman"/>
          <w:sz w:val="24"/>
          <w:szCs w:val="24"/>
        </w:rPr>
        <w:t xml:space="preserve">that Reserve </w:t>
      </w:r>
      <w:r w:rsidRPr="00FF69B9">
        <w:rPr>
          <w:rFonts w:ascii="Times New Roman" w:hAnsi="Times New Roman" w:cs="Times New Roman"/>
          <w:sz w:val="24"/>
          <w:szCs w:val="24"/>
        </w:rPr>
        <w:t>would be</w:t>
      </w:r>
      <w:r>
        <w:rPr>
          <w:rFonts w:ascii="Times New Roman" w:hAnsi="Times New Roman" w:cs="Times New Roman"/>
          <w:sz w:val="24"/>
          <w:szCs w:val="24"/>
        </w:rPr>
        <w:t xml:space="preserve"> </w:t>
      </w:r>
      <w:r w:rsidRPr="00E428C6">
        <w:rPr>
          <w:rFonts w:ascii="Times New Roman" w:hAnsi="Times New Roman" w:cs="Times New Roman"/>
          <w:sz w:val="24"/>
          <w:szCs w:val="24"/>
        </w:rPr>
        <w:t>considered an insurance company for accounting purposes.</w:t>
      </w:r>
      <w:r>
        <w:rPr>
          <w:rStyle w:val="EndnoteReference"/>
          <w:rFonts w:ascii="Times New Roman" w:hAnsi="Times New Roman" w:cs="Times New Roman"/>
          <w:sz w:val="24"/>
          <w:szCs w:val="24"/>
        </w:rPr>
        <w:endnoteReference w:id="137"/>
      </w:r>
    </w:p>
    <w:p w14:paraId="3A48CF53" w14:textId="77777777" w:rsidR="000A2139" w:rsidRDefault="000A2139" w:rsidP="004410E2">
      <w:pPr>
        <w:spacing w:after="0" w:line="240" w:lineRule="auto"/>
        <w:rPr>
          <w:rFonts w:ascii="Times New Roman" w:hAnsi="Times New Roman" w:cs="Times New Roman"/>
          <w:sz w:val="24"/>
          <w:szCs w:val="24"/>
        </w:rPr>
      </w:pPr>
    </w:p>
    <w:p w14:paraId="1646682A" w14:textId="77777777" w:rsidR="000A2139" w:rsidRDefault="000A2139" w:rsidP="005A5D3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w:t>
      </w:r>
      <w:r w:rsidRPr="00A7167D">
        <w:rPr>
          <w:rFonts w:ascii="Times New Roman" w:hAnsi="Times New Roman" w:cs="Times New Roman"/>
          <w:sz w:val="24"/>
          <w:szCs w:val="24"/>
        </w:rPr>
        <w:t>addition to disregarding the testimony of each of the above witnesses, the Court also disregarded the evidence before it with respect to what it considered to be perceived flaws in the claims process.  The Court was incorrect in its finding that the claims payments made by Reserve in 2009 were “handled in an irregular manner.”  The Court was also incorrect in its finding that Peak did not submit and Reserve did not insist on any documents to substantiate the occurrence or the amount of the claimed loss.</w:t>
      </w:r>
      <w:r w:rsidRPr="00A7167D">
        <w:rPr>
          <w:rStyle w:val="EndnoteReference"/>
          <w:rFonts w:ascii="Times New Roman" w:hAnsi="Times New Roman" w:cs="Times New Roman"/>
          <w:sz w:val="24"/>
          <w:szCs w:val="24"/>
        </w:rPr>
        <w:endnoteReference w:id="138"/>
      </w:r>
      <w:r w:rsidRPr="00A7167D">
        <w:rPr>
          <w:rFonts w:ascii="Times New Roman" w:hAnsi="Times New Roman" w:cs="Times New Roman"/>
          <w:sz w:val="24"/>
          <w:szCs w:val="24"/>
        </w:rPr>
        <w:t xml:space="preserve"> The opposites are true.  Claims paid by Reserve on its direct written policies totaled $339,820 and were paid according to the terms of the</w:t>
      </w:r>
      <w:r w:rsidRPr="00AE7E1E">
        <w:rPr>
          <w:rFonts w:ascii="Times New Roman" w:hAnsi="Times New Roman" w:cs="Times New Roman"/>
          <w:sz w:val="24"/>
          <w:szCs w:val="24"/>
        </w:rPr>
        <w:t xml:space="preserve"> policy, with settlement release and documentation being fully executed in connection with each payment made to the insured under the terms of the policy</w:t>
      </w:r>
      <w:r>
        <w:rPr>
          <w:rFonts w:ascii="Times New Roman" w:hAnsi="Times New Roman" w:cs="Times New Roman"/>
          <w:sz w:val="24"/>
          <w:szCs w:val="24"/>
        </w:rPr>
        <w:t>.</w:t>
      </w:r>
      <w:r>
        <w:rPr>
          <w:rStyle w:val="EndnoteReference"/>
          <w:rFonts w:ascii="Times New Roman" w:hAnsi="Times New Roman" w:cs="Times New Roman"/>
          <w:sz w:val="24"/>
          <w:szCs w:val="24"/>
        </w:rPr>
        <w:endnoteReference w:id="139"/>
      </w:r>
      <w:r>
        <w:rPr>
          <w:rFonts w:ascii="Times New Roman" w:hAnsi="Times New Roman" w:cs="Times New Roman"/>
          <w:sz w:val="24"/>
          <w:szCs w:val="24"/>
        </w:rPr>
        <w:t xml:space="preserve">  </w:t>
      </w:r>
      <w:r w:rsidRPr="007C6AAC">
        <w:rPr>
          <w:rFonts w:ascii="Times New Roman" w:hAnsi="Times New Roman" w:cs="Times New Roman"/>
          <w:sz w:val="24"/>
          <w:szCs w:val="24"/>
        </w:rPr>
        <w:t>The fact that Reserve adjudicated and paid a large claim filed by Peak is strong evidence that insurance existed in the commonly accepted sense.</w:t>
      </w:r>
    </w:p>
    <w:p w14:paraId="2616D1E6" w14:textId="77777777" w:rsidR="000A2139" w:rsidRDefault="000A2139" w:rsidP="005A5D3B">
      <w:pPr>
        <w:spacing w:after="0" w:line="240" w:lineRule="auto"/>
        <w:contextualSpacing/>
        <w:rPr>
          <w:rFonts w:ascii="Times New Roman" w:hAnsi="Times New Roman" w:cs="Times New Roman"/>
          <w:sz w:val="24"/>
          <w:szCs w:val="24"/>
        </w:rPr>
      </w:pPr>
    </w:p>
    <w:p w14:paraId="547F38B3" w14:textId="77777777" w:rsidR="000A2139" w:rsidRPr="00877BF6" w:rsidRDefault="000A2139" w:rsidP="00877BF6">
      <w:pPr>
        <w:pStyle w:val="Heading3"/>
        <w:spacing w:before="0" w:line="240" w:lineRule="auto"/>
        <w:rPr>
          <w:rFonts w:ascii="Times New Roman" w:hAnsi="Times New Roman" w:cs="Times New Roman"/>
          <w:b/>
          <w:color w:val="auto"/>
        </w:rPr>
      </w:pPr>
      <w:bookmarkStart w:id="45" w:name="_Toc534366184"/>
      <w:r w:rsidRPr="00877BF6">
        <w:rPr>
          <w:rFonts w:ascii="Times New Roman" w:hAnsi="Times New Roman" w:cs="Times New Roman"/>
          <w:b/>
          <w:color w:val="auto"/>
        </w:rPr>
        <w:t>2. Adequate Capitalization</w:t>
      </w:r>
      <w:bookmarkEnd w:id="45"/>
    </w:p>
    <w:p w14:paraId="2FAF0431" w14:textId="77777777" w:rsidR="000A2139" w:rsidRDefault="000A2139" w:rsidP="00872808">
      <w:pPr>
        <w:spacing w:after="0" w:line="240" w:lineRule="auto"/>
        <w:rPr>
          <w:rFonts w:ascii="Times New Roman" w:hAnsi="Times New Roman" w:cs="Times New Roman"/>
          <w:sz w:val="24"/>
          <w:szCs w:val="24"/>
        </w:rPr>
      </w:pPr>
    </w:p>
    <w:p w14:paraId="6840AB7B" w14:textId="77777777" w:rsidR="000A2139" w:rsidRDefault="000A2139" w:rsidP="0087280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Pr="00037153">
        <w:rPr>
          <w:rFonts w:ascii="Times New Roman" w:hAnsi="Times New Roman" w:cs="Times New Roman"/>
          <w:sz w:val="24"/>
          <w:szCs w:val="24"/>
        </w:rPr>
        <w:t>Court found this factor to be present since Reserve met the minimum capitalization requirements of Anguilla.</w:t>
      </w:r>
      <w:r>
        <w:rPr>
          <w:rFonts w:ascii="Times New Roman" w:hAnsi="Times New Roman" w:cs="Times New Roman"/>
          <w:sz w:val="24"/>
          <w:szCs w:val="24"/>
        </w:rPr>
        <w:t xml:space="preserve">  This factor, while present, was apparently not given much weight by the Court.</w:t>
      </w:r>
    </w:p>
    <w:p w14:paraId="13FF8C2A" w14:textId="77777777" w:rsidR="000A2139" w:rsidRPr="00037153" w:rsidRDefault="000A2139" w:rsidP="00872808">
      <w:pPr>
        <w:spacing w:after="0" w:line="240" w:lineRule="auto"/>
        <w:rPr>
          <w:rFonts w:ascii="Times New Roman" w:hAnsi="Times New Roman" w:cs="Times New Roman"/>
          <w:sz w:val="24"/>
          <w:szCs w:val="24"/>
        </w:rPr>
      </w:pPr>
    </w:p>
    <w:p w14:paraId="4DB0F21C" w14:textId="77777777" w:rsidR="000A2139" w:rsidRPr="00877BF6" w:rsidRDefault="000A2139" w:rsidP="00877BF6">
      <w:pPr>
        <w:pStyle w:val="Heading3"/>
        <w:spacing w:before="0" w:line="240" w:lineRule="auto"/>
        <w:rPr>
          <w:rFonts w:ascii="Times New Roman" w:hAnsi="Times New Roman" w:cs="Times New Roman"/>
          <w:b/>
          <w:color w:val="auto"/>
        </w:rPr>
      </w:pPr>
      <w:bookmarkStart w:id="46" w:name="_Toc534366185"/>
      <w:r w:rsidRPr="00877BF6">
        <w:rPr>
          <w:rFonts w:ascii="Times New Roman" w:hAnsi="Times New Roman" w:cs="Times New Roman"/>
          <w:b/>
          <w:color w:val="auto"/>
        </w:rPr>
        <w:t>3. Valid and Binding Policies</w:t>
      </w:r>
      <w:bookmarkEnd w:id="46"/>
    </w:p>
    <w:p w14:paraId="1845079F" w14:textId="77777777" w:rsidR="000A2139" w:rsidRPr="005A5D3B" w:rsidRDefault="000A2139" w:rsidP="00872808">
      <w:pPr>
        <w:spacing w:after="0" w:line="240" w:lineRule="auto"/>
        <w:contextualSpacing/>
        <w:rPr>
          <w:rFonts w:ascii="Times New Roman" w:hAnsi="Times New Roman" w:cs="Times New Roman"/>
          <w:sz w:val="24"/>
          <w:szCs w:val="24"/>
        </w:rPr>
      </w:pPr>
    </w:p>
    <w:p w14:paraId="2B42245F" w14:textId="77777777" w:rsidR="000A2139" w:rsidRPr="00A7167D" w:rsidRDefault="000A2139" w:rsidP="00872808">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The </w:t>
      </w:r>
      <w:r w:rsidRPr="00037153">
        <w:rPr>
          <w:rFonts w:ascii="Times New Roman" w:hAnsi="Times New Roman" w:cs="Times New Roman"/>
          <w:sz w:val="24"/>
          <w:szCs w:val="24"/>
        </w:rPr>
        <w:t>Court found this factor to be “</w:t>
      </w:r>
      <w:r w:rsidRPr="00A7167D">
        <w:rPr>
          <w:rFonts w:ascii="Times New Roman" w:hAnsi="Times New Roman" w:cs="Times New Roman"/>
          <w:sz w:val="24"/>
          <w:szCs w:val="24"/>
        </w:rPr>
        <w:t>neutral” but criticized Reserve’s policies as being “cookie cutter” policies, emphasizing that the policies were based on preexisting forms created and copyrighted by Capstone.  The Court improperly concluded that Reserve’s policies “were not reasonably suited to the needs of the insureds.”</w:t>
      </w:r>
    </w:p>
    <w:p w14:paraId="237A208A" w14:textId="77777777" w:rsidR="000A2139" w:rsidRPr="00A7167D" w:rsidRDefault="000A2139" w:rsidP="00872808">
      <w:pPr>
        <w:spacing w:after="0" w:line="240" w:lineRule="auto"/>
        <w:rPr>
          <w:rFonts w:ascii="Times New Roman" w:hAnsi="Times New Roman" w:cs="Times New Roman"/>
          <w:sz w:val="24"/>
          <w:szCs w:val="24"/>
        </w:rPr>
      </w:pPr>
    </w:p>
    <w:p w14:paraId="1F3F0150" w14:textId="77777777" w:rsidR="000A2139" w:rsidRPr="00A7167D" w:rsidRDefault="000A2139" w:rsidP="00872808">
      <w:pPr>
        <w:spacing w:after="0" w:line="240" w:lineRule="auto"/>
        <w:rPr>
          <w:rFonts w:ascii="Times New Roman" w:hAnsi="Times New Roman" w:cs="Times New Roman"/>
          <w:sz w:val="24"/>
          <w:szCs w:val="24"/>
        </w:rPr>
      </w:pPr>
      <w:r w:rsidRPr="00A7167D">
        <w:rPr>
          <w:rFonts w:ascii="Times New Roman" w:hAnsi="Times New Roman" w:cs="Times New Roman"/>
          <w:sz w:val="24"/>
          <w:szCs w:val="24"/>
        </w:rPr>
        <w:t>Evidence presented at trial demonstrated that the policies issued by Reserve were on forms common to the pooled policies in addition to being customized as needed.</w:t>
      </w:r>
      <w:r w:rsidRPr="00A7167D">
        <w:rPr>
          <w:rStyle w:val="EndnoteReference"/>
          <w:rFonts w:ascii="Times New Roman" w:hAnsi="Times New Roman" w:cs="Times New Roman"/>
          <w:sz w:val="24"/>
          <w:szCs w:val="24"/>
        </w:rPr>
        <w:endnoteReference w:id="140"/>
      </w:r>
    </w:p>
    <w:p w14:paraId="4F220FDC" w14:textId="77777777" w:rsidR="000A2139" w:rsidRPr="00A7167D" w:rsidRDefault="000A2139" w:rsidP="00872808">
      <w:pPr>
        <w:spacing w:after="0" w:line="240" w:lineRule="auto"/>
        <w:rPr>
          <w:rFonts w:ascii="Times New Roman" w:hAnsi="Times New Roman" w:cs="Times New Roman"/>
          <w:sz w:val="24"/>
          <w:szCs w:val="24"/>
        </w:rPr>
      </w:pPr>
    </w:p>
    <w:p w14:paraId="68C754CB" w14:textId="77777777" w:rsidR="000A2139" w:rsidRDefault="000A2139" w:rsidP="00872808">
      <w:pPr>
        <w:spacing w:after="0" w:line="240" w:lineRule="auto"/>
        <w:rPr>
          <w:rFonts w:ascii="Times New Roman" w:hAnsi="Times New Roman" w:cs="Times New Roman"/>
          <w:sz w:val="24"/>
          <w:szCs w:val="24"/>
        </w:rPr>
      </w:pPr>
      <w:r w:rsidRPr="00A7167D">
        <w:rPr>
          <w:rFonts w:ascii="Times New Roman" w:hAnsi="Times New Roman" w:cs="Times New Roman"/>
          <w:sz w:val="24"/>
          <w:szCs w:val="24"/>
        </w:rPr>
        <w:lastRenderedPageBreak/>
        <w:t>Form policies are ubiquitous in the insurance industry</w:t>
      </w:r>
      <w:r w:rsidRPr="00676962">
        <w:rPr>
          <w:rFonts w:ascii="Times New Roman" w:hAnsi="Times New Roman" w:cs="Times New Roman"/>
          <w:sz w:val="24"/>
          <w:szCs w:val="24"/>
        </w:rPr>
        <w:t xml:space="preserve"> </w:t>
      </w:r>
      <w:r>
        <w:rPr>
          <w:rFonts w:ascii="Times New Roman" w:hAnsi="Times New Roman" w:cs="Times New Roman"/>
          <w:sz w:val="24"/>
          <w:szCs w:val="24"/>
        </w:rPr>
        <w:t>as are “</w:t>
      </w:r>
      <w:r w:rsidRPr="00676962">
        <w:rPr>
          <w:rFonts w:ascii="Times New Roman" w:hAnsi="Times New Roman" w:cs="Times New Roman"/>
          <w:sz w:val="24"/>
          <w:szCs w:val="24"/>
        </w:rPr>
        <w:t>forms” in the legal, medical and professional community generally. “Forms” do not lessen the legal impact of a contractual agreement.  To be sure, forms exist in the</w:t>
      </w:r>
      <w:r>
        <w:rPr>
          <w:rFonts w:ascii="Times New Roman" w:hAnsi="Times New Roman" w:cs="Times New Roman"/>
          <w:sz w:val="24"/>
          <w:szCs w:val="24"/>
        </w:rPr>
        <w:t xml:space="preserve"> </w:t>
      </w:r>
      <w:r w:rsidRPr="002A1908">
        <w:rPr>
          <w:rFonts w:ascii="Times New Roman" w:hAnsi="Times New Roman" w:cs="Times New Roman"/>
          <w:sz w:val="24"/>
          <w:szCs w:val="24"/>
        </w:rPr>
        <w:t xml:space="preserve">insurance industry to facilitate the pooling and sharing of similar risks with </w:t>
      </w:r>
      <w:r w:rsidRPr="00A7167D">
        <w:rPr>
          <w:rFonts w:ascii="Times New Roman" w:hAnsi="Times New Roman" w:cs="Times New Roman"/>
          <w:sz w:val="24"/>
          <w:szCs w:val="24"/>
        </w:rPr>
        <w:t>respect to unaffiliated insureds under similarly contracted for coverages with similar definitions and other language and to achieve certainty on the scope of coverage.  The Court appeared to call for an unrealistic approach in requiring that policies be individually manuscripted for each insured in order for those policies to qualify as valid and binding.</w:t>
      </w:r>
    </w:p>
    <w:p w14:paraId="420CE2D6" w14:textId="77777777" w:rsidR="000A2139" w:rsidRPr="004A11F3" w:rsidRDefault="000A2139" w:rsidP="00872808">
      <w:pPr>
        <w:spacing w:after="0" w:line="240" w:lineRule="auto"/>
        <w:rPr>
          <w:rFonts w:ascii="Times New Roman" w:hAnsi="Times New Roman" w:cs="Times New Roman"/>
          <w:sz w:val="24"/>
          <w:szCs w:val="24"/>
        </w:rPr>
      </w:pPr>
    </w:p>
    <w:p w14:paraId="03670596" w14:textId="77777777" w:rsidR="000A2139" w:rsidRPr="00877BF6" w:rsidRDefault="000A2139" w:rsidP="00877BF6">
      <w:pPr>
        <w:pStyle w:val="Heading3"/>
        <w:spacing w:before="0" w:line="240" w:lineRule="auto"/>
        <w:rPr>
          <w:rFonts w:ascii="Times New Roman" w:hAnsi="Times New Roman" w:cs="Times New Roman"/>
          <w:b/>
          <w:color w:val="auto"/>
        </w:rPr>
      </w:pPr>
      <w:bookmarkStart w:id="47" w:name="_Toc534366186"/>
      <w:r w:rsidRPr="00877BF6">
        <w:rPr>
          <w:rFonts w:ascii="Times New Roman" w:hAnsi="Times New Roman" w:cs="Times New Roman"/>
          <w:b/>
          <w:color w:val="auto"/>
        </w:rPr>
        <w:t>4. Reasonableness of Premiums</w:t>
      </w:r>
      <w:bookmarkEnd w:id="47"/>
    </w:p>
    <w:p w14:paraId="224DF6CE" w14:textId="77777777" w:rsidR="000A2139" w:rsidRPr="004A11F3" w:rsidRDefault="000A2139" w:rsidP="00872808">
      <w:pPr>
        <w:spacing w:after="0" w:line="240" w:lineRule="auto"/>
        <w:rPr>
          <w:rFonts w:ascii="Times New Roman" w:hAnsi="Times New Roman" w:cs="Times New Roman"/>
          <w:sz w:val="24"/>
          <w:szCs w:val="24"/>
        </w:rPr>
      </w:pPr>
    </w:p>
    <w:p w14:paraId="2401EFDD" w14:textId="77777777" w:rsidR="000A2139" w:rsidRPr="004A11F3" w:rsidRDefault="000A2139" w:rsidP="00BA6CBC">
      <w:pPr>
        <w:spacing w:after="0" w:line="240" w:lineRule="auto"/>
        <w:rPr>
          <w:rFonts w:ascii="Times New Roman" w:hAnsi="Times New Roman" w:cs="Times New Roman"/>
          <w:sz w:val="24"/>
          <w:szCs w:val="24"/>
        </w:rPr>
      </w:pPr>
      <w:r w:rsidRPr="004A11F3">
        <w:rPr>
          <w:rFonts w:ascii="Times New Roman" w:hAnsi="Times New Roman" w:cs="Times New Roman"/>
          <w:sz w:val="24"/>
          <w:szCs w:val="24"/>
        </w:rPr>
        <w:t>The Court stated as follows in its discussion of whether Reserve charged reasonable premiums to Peak for its direct written policies.</w:t>
      </w:r>
      <w:r>
        <w:rPr>
          <w:rFonts w:ascii="Times New Roman" w:hAnsi="Times New Roman" w:cs="Times New Roman"/>
          <w:sz w:val="24"/>
          <w:szCs w:val="24"/>
        </w:rPr>
        <w:br/>
      </w:r>
    </w:p>
    <w:p w14:paraId="795BBF82" w14:textId="77777777" w:rsidR="000A2139" w:rsidRPr="00880C04" w:rsidRDefault="000A2139" w:rsidP="00BA6CBC">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w:t>
      </w:r>
      <w:r w:rsidRPr="00BA6CBC">
        <w:rPr>
          <w:rFonts w:ascii="Times New Roman" w:hAnsi="Times New Roman" w:cs="Times New Roman"/>
          <w:b/>
          <w:i/>
          <w:sz w:val="24"/>
          <w:szCs w:val="24"/>
        </w:rPr>
        <w:t xml:space="preserve">With respect </w:t>
      </w:r>
      <w:r w:rsidRPr="00880C04">
        <w:rPr>
          <w:rFonts w:ascii="Times New Roman" w:hAnsi="Times New Roman" w:cs="Times New Roman"/>
          <w:b/>
          <w:i/>
          <w:sz w:val="24"/>
          <w:szCs w:val="24"/>
        </w:rPr>
        <w:t>to premiums, the facts and circumstances of this case demonstrate that the direct written policies were not the result of arm’s-length negotiations. Taking into consideration all the surrounding</w:t>
      </w:r>
      <w:r w:rsidRPr="00BA6CBC">
        <w:rPr>
          <w:rFonts w:ascii="Times New Roman" w:hAnsi="Times New Roman" w:cs="Times New Roman"/>
          <w:b/>
          <w:i/>
          <w:sz w:val="24"/>
          <w:szCs w:val="24"/>
        </w:rPr>
        <w:t xml:space="preserve"> facts and circumstances, we conclude that no unrelated party would </w:t>
      </w:r>
      <w:r w:rsidRPr="00880C04">
        <w:rPr>
          <w:rFonts w:ascii="Times New Roman" w:hAnsi="Times New Roman" w:cs="Times New Roman"/>
          <w:b/>
          <w:i/>
          <w:sz w:val="24"/>
          <w:szCs w:val="24"/>
        </w:rPr>
        <w:t>reasonably agree to pay Reserve the premiums that Peak and the other insureds did for the coverage provided by the direct written policies. Although Capstone calculated Reserve’s premiums using objective criteria and what appear to be actuarial methods, the absence of a real business purpose for Reserve’s policies leads us to conclude that the premiums paid for the polices were not reasonable and not negotiated at arm’s length</w:t>
      </w:r>
      <w:r w:rsidRPr="00880C04">
        <w:rPr>
          <w:rFonts w:ascii="Times New Roman" w:hAnsi="Times New Roman" w:cs="Times New Roman"/>
          <w:sz w:val="24"/>
          <w:szCs w:val="24"/>
        </w:rPr>
        <w:t>.”</w:t>
      </w:r>
      <w:r w:rsidRPr="00880C04">
        <w:rPr>
          <w:rStyle w:val="EndnoteReference"/>
          <w:rFonts w:ascii="Times New Roman" w:hAnsi="Times New Roman" w:cs="Times New Roman"/>
          <w:sz w:val="24"/>
          <w:szCs w:val="24"/>
        </w:rPr>
        <w:endnoteReference w:id="141"/>
      </w:r>
    </w:p>
    <w:p w14:paraId="4FCED057" w14:textId="77777777" w:rsidR="000A2139" w:rsidRPr="00880C04" w:rsidRDefault="000A2139" w:rsidP="00007BDD">
      <w:pPr>
        <w:spacing w:after="0" w:line="240" w:lineRule="auto"/>
        <w:rPr>
          <w:rFonts w:ascii="Times New Roman" w:hAnsi="Times New Roman" w:cs="Times New Roman"/>
          <w:sz w:val="24"/>
          <w:szCs w:val="24"/>
        </w:rPr>
      </w:pPr>
    </w:p>
    <w:p w14:paraId="4C1B8C05" w14:textId="23B4D276" w:rsidR="000A2139" w:rsidRDefault="000A2139" w:rsidP="00007BDD">
      <w:pPr>
        <w:spacing w:after="0" w:line="240" w:lineRule="auto"/>
        <w:rPr>
          <w:rFonts w:ascii="Times New Roman" w:hAnsi="Times New Roman" w:cs="Times New Roman"/>
          <w:sz w:val="24"/>
          <w:szCs w:val="24"/>
        </w:rPr>
      </w:pPr>
      <w:r w:rsidRPr="00880C04">
        <w:rPr>
          <w:rFonts w:ascii="Times New Roman" w:hAnsi="Times New Roman" w:cs="Times New Roman"/>
          <w:sz w:val="24"/>
          <w:szCs w:val="24"/>
        </w:rPr>
        <w:t>Based on the quoted language above and additional language in the Opinion, the Court appeared to conclude that premiums charged by a captive can only be reasonable</w:t>
      </w:r>
      <w:r>
        <w:rPr>
          <w:rFonts w:ascii="Times New Roman" w:hAnsi="Times New Roman" w:cs="Times New Roman"/>
          <w:sz w:val="24"/>
          <w:szCs w:val="24"/>
        </w:rPr>
        <w:t xml:space="preserve"> if “it can be shown that the amounts agreed upon by the parties were the result of arm’s length negotiations.”</w:t>
      </w:r>
      <w:r>
        <w:rPr>
          <w:rStyle w:val="EndnoteReference"/>
          <w:rFonts w:ascii="Times New Roman" w:hAnsi="Times New Roman" w:cs="Times New Roman"/>
          <w:sz w:val="24"/>
          <w:szCs w:val="24"/>
        </w:rPr>
        <w:endnoteReference w:id="142"/>
      </w:r>
      <w:r>
        <w:rPr>
          <w:rFonts w:ascii="Times New Roman" w:hAnsi="Times New Roman" w:cs="Times New Roman"/>
          <w:sz w:val="24"/>
          <w:szCs w:val="24"/>
        </w:rPr>
        <w:t xml:space="preserve">  “Arm’s length” connotes negotiations between unaffiliated parties.  The Court’s imposition of</w:t>
      </w:r>
      <w:r w:rsidRPr="00EC1F69">
        <w:rPr>
          <w:rFonts w:ascii="Times New Roman" w:hAnsi="Times New Roman" w:cs="Times New Roman"/>
          <w:sz w:val="24"/>
          <w:szCs w:val="24"/>
        </w:rPr>
        <w:t xml:space="preserve"> an arm’s length requirement is </w:t>
      </w:r>
      <w:r>
        <w:rPr>
          <w:rFonts w:ascii="Times New Roman" w:hAnsi="Times New Roman" w:cs="Times New Roman"/>
          <w:sz w:val="24"/>
          <w:szCs w:val="24"/>
        </w:rPr>
        <w:t xml:space="preserve">meaningless </w:t>
      </w:r>
      <w:r w:rsidRPr="00EC1F69">
        <w:rPr>
          <w:rFonts w:ascii="Times New Roman" w:hAnsi="Times New Roman" w:cs="Times New Roman"/>
          <w:sz w:val="24"/>
          <w:szCs w:val="24"/>
        </w:rPr>
        <w:t xml:space="preserve">in the context of a captive insurance arrangement.  To be sure, nowhere in the Code </w:t>
      </w:r>
      <w:r>
        <w:rPr>
          <w:rFonts w:ascii="Times New Roman" w:hAnsi="Times New Roman" w:cs="Times New Roman"/>
          <w:sz w:val="24"/>
          <w:szCs w:val="24"/>
        </w:rPr>
        <w:t>or prior case law has there ever been</w:t>
      </w:r>
      <w:r w:rsidRPr="00EC1F69">
        <w:rPr>
          <w:rFonts w:ascii="Times New Roman" w:hAnsi="Times New Roman" w:cs="Times New Roman"/>
          <w:sz w:val="24"/>
          <w:szCs w:val="24"/>
        </w:rPr>
        <w:t xml:space="preserve"> a requirement of a “third-party” transaction in the captive insurance context.  Rather, in many ways, a third-party transaction is </w:t>
      </w:r>
      <w:r>
        <w:rPr>
          <w:rFonts w:ascii="Times New Roman" w:hAnsi="Times New Roman" w:cs="Times New Roman"/>
          <w:sz w:val="24"/>
          <w:szCs w:val="24"/>
        </w:rPr>
        <w:t>incompatible with the purpose of</w:t>
      </w:r>
      <w:r w:rsidRPr="00EC1F69">
        <w:rPr>
          <w:rFonts w:ascii="Times New Roman" w:hAnsi="Times New Roman" w:cs="Times New Roman"/>
          <w:sz w:val="24"/>
          <w:szCs w:val="24"/>
        </w:rPr>
        <w:t xml:space="preserve"> a captive insurance arrangement</w:t>
      </w:r>
      <w:r>
        <w:rPr>
          <w:rFonts w:ascii="Times New Roman" w:hAnsi="Times New Roman" w:cs="Times New Roman"/>
          <w:sz w:val="24"/>
          <w:szCs w:val="24"/>
        </w:rPr>
        <w:t>,</w:t>
      </w:r>
      <w:r w:rsidRPr="00EC1F69">
        <w:rPr>
          <w:rFonts w:ascii="Times New Roman" w:hAnsi="Times New Roman" w:cs="Times New Roman"/>
          <w:sz w:val="24"/>
          <w:szCs w:val="24"/>
        </w:rPr>
        <w:t xml:space="preserve"> which is generally directed at transactions with affiliates.</w:t>
      </w:r>
      <w:r>
        <w:rPr>
          <w:rStyle w:val="EndnoteReference"/>
          <w:rFonts w:ascii="Times New Roman" w:hAnsi="Times New Roman" w:cs="Times New Roman"/>
          <w:sz w:val="24"/>
          <w:szCs w:val="24"/>
        </w:rPr>
        <w:endnoteReference w:id="143"/>
      </w:r>
    </w:p>
    <w:p w14:paraId="57D783AA" w14:textId="77777777" w:rsidR="000A2139" w:rsidRDefault="000A2139" w:rsidP="00007BDD">
      <w:pPr>
        <w:spacing w:after="0" w:line="240" w:lineRule="auto"/>
        <w:rPr>
          <w:rFonts w:ascii="Times New Roman" w:hAnsi="Times New Roman" w:cs="Times New Roman"/>
          <w:sz w:val="24"/>
          <w:szCs w:val="24"/>
        </w:rPr>
      </w:pPr>
    </w:p>
    <w:p w14:paraId="01E30786" w14:textId="77777777" w:rsidR="000A2139" w:rsidRPr="00006597" w:rsidRDefault="000A2139" w:rsidP="00007BDD">
      <w:pPr>
        <w:spacing w:after="0" w:line="240" w:lineRule="auto"/>
        <w:rPr>
          <w:rFonts w:ascii="Times New Roman" w:hAnsi="Times New Roman" w:cs="Times New Roman"/>
          <w:sz w:val="24"/>
          <w:szCs w:val="24"/>
        </w:rPr>
      </w:pPr>
      <w:r w:rsidRPr="00006597">
        <w:rPr>
          <w:rFonts w:ascii="Times New Roman" w:hAnsi="Times New Roman" w:cs="Times New Roman"/>
          <w:sz w:val="24"/>
          <w:szCs w:val="24"/>
        </w:rPr>
        <w:t xml:space="preserve">In </w:t>
      </w:r>
      <w:r w:rsidRPr="000B6BA7">
        <w:rPr>
          <w:rFonts w:ascii="Times New Roman" w:eastAsia="Calibri" w:hAnsi="Times New Roman" w:cs="Times New Roman"/>
          <w:i/>
          <w:sz w:val="24"/>
          <w:szCs w:val="24"/>
          <w:lang w:val="en-CA"/>
        </w:rPr>
        <w:t>Harper Group v. Commissioner</w:t>
      </w:r>
      <w:r w:rsidRPr="000B6BA7">
        <w:rPr>
          <w:rFonts w:ascii="Times New Roman" w:eastAsia="Calibri" w:hAnsi="Times New Roman" w:cs="Times New Roman"/>
          <w:sz w:val="24"/>
          <w:szCs w:val="24"/>
          <w:lang w:val="en-CA"/>
        </w:rPr>
        <w:t>,</w:t>
      </w:r>
      <w:r w:rsidRPr="000B6BA7">
        <w:rPr>
          <w:rFonts w:ascii="Times New Roman" w:eastAsia="Calibri" w:hAnsi="Times New Roman" w:cs="Times New Roman"/>
          <w:spacing w:val="-5"/>
          <w:sz w:val="24"/>
          <w:szCs w:val="24"/>
          <w:vertAlign w:val="superscript"/>
        </w:rPr>
        <w:t xml:space="preserve"> </w:t>
      </w:r>
      <w:r w:rsidRPr="000B6BA7">
        <w:rPr>
          <w:rFonts w:ascii="Times New Roman" w:eastAsia="Calibri" w:hAnsi="Times New Roman" w:cs="Times New Roman"/>
          <w:spacing w:val="-5"/>
          <w:sz w:val="24"/>
          <w:szCs w:val="24"/>
          <w:vertAlign w:val="superscript"/>
        </w:rPr>
        <w:endnoteReference w:id="144"/>
      </w:r>
      <w:r w:rsidRPr="000B6BA7">
        <w:rPr>
          <w:rFonts w:ascii="Times New Roman" w:eastAsia="Calibri" w:hAnsi="Times New Roman" w:cs="Times New Roman"/>
          <w:spacing w:val="-5"/>
          <w:sz w:val="24"/>
          <w:szCs w:val="24"/>
        </w:rPr>
        <w:t xml:space="preserve"> </w:t>
      </w:r>
      <w:r w:rsidRPr="00006597">
        <w:rPr>
          <w:rFonts w:ascii="Times New Roman" w:hAnsi="Times New Roman" w:cs="Times New Roman"/>
          <w:sz w:val="24"/>
          <w:szCs w:val="24"/>
        </w:rPr>
        <w:t>th</w:t>
      </w:r>
      <w:r>
        <w:rPr>
          <w:rFonts w:ascii="Times New Roman" w:hAnsi="Times New Roman" w:cs="Times New Roman"/>
          <w:sz w:val="24"/>
          <w:szCs w:val="24"/>
        </w:rPr>
        <w:t>e Tax Court had previously</w:t>
      </w:r>
      <w:r w:rsidRPr="00006597">
        <w:rPr>
          <w:rFonts w:ascii="Times New Roman" w:hAnsi="Times New Roman" w:cs="Times New Roman"/>
          <w:sz w:val="24"/>
          <w:szCs w:val="24"/>
        </w:rPr>
        <w:t xml:space="preserve"> addressed the </w:t>
      </w:r>
      <w:r>
        <w:rPr>
          <w:rFonts w:ascii="Times New Roman" w:hAnsi="Times New Roman" w:cs="Times New Roman"/>
          <w:sz w:val="24"/>
          <w:szCs w:val="24"/>
        </w:rPr>
        <w:t xml:space="preserve">precise </w:t>
      </w:r>
      <w:r w:rsidRPr="00006597">
        <w:rPr>
          <w:rFonts w:ascii="Times New Roman" w:hAnsi="Times New Roman" w:cs="Times New Roman"/>
          <w:sz w:val="24"/>
          <w:szCs w:val="24"/>
        </w:rPr>
        <w:t xml:space="preserve">issue </w:t>
      </w:r>
      <w:r>
        <w:rPr>
          <w:rFonts w:ascii="Times New Roman" w:hAnsi="Times New Roman" w:cs="Times New Roman"/>
          <w:sz w:val="24"/>
          <w:szCs w:val="24"/>
        </w:rPr>
        <w:t xml:space="preserve">regarding permissible methods for </w:t>
      </w:r>
      <w:r w:rsidRPr="00006597">
        <w:rPr>
          <w:rFonts w:ascii="Times New Roman" w:hAnsi="Times New Roman" w:cs="Times New Roman"/>
          <w:sz w:val="24"/>
          <w:szCs w:val="24"/>
        </w:rPr>
        <w:t>setting</w:t>
      </w:r>
      <w:r>
        <w:rPr>
          <w:rFonts w:ascii="Times New Roman" w:hAnsi="Times New Roman" w:cs="Times New Roman"/>
          <w:sz w:val="24"/>
          <w:szCs w:val="24"/>
        </w:rPr>
        <w:t xml:space="preserve"> reasonable </w:t>
      </w:r>
      <w:r w:rsidRPr="00006597">
        <w:rPr>
          <w:rFonts w:ascii="Times New Roman" w:hAnsi="Times New Roman" w:cs="Times New Roman"/>
          <w:sz w:val="24"/>
          <w:szCs w:val="24"/>
        </w:rPr>
        <w:t xml:space="preserve">premiums </w:t>
      </w:r>
      <w:r>
        <w:rPr>
          <w:rFonts w:ascii="Times New Roman" w:hAnsi="Times New Roman" w:cs="Times New Roman"/>
          <w:sz w:val="24"/>
          <w:szCs w:val="24"/>
        </w:rPr>
        <w:t xml:space="preserve">to be charged by </w:t>
      </w:r>
      <w:r w:rsidRPr="00006597">
        <w:rPr>
          <w:rFonts w:ascii="Times New Roman" w:hAnsi="Times New Roman" w:cs="Times New Roman"/>
          <w:sz w:val="24"/>
          <w:szCs w:val="24"/>
        </w:rPr>
        <w:t>a captive insurance company</w:t>
      </w:r>
      <w:r>
        <w:rPr>
          <w:rFonts w:ascii="Times New Roman" w:hAnsi="Times New Roman" w:cs="Times New Roman"/>
          <w:sz w:val="24"/>
          <w:szCs w:val="24"/>
        </w:rPr>
        <w:t xml:space="preserve"> to</w:t>
      </w:r>
      <w:r w:rsidRPr="00006597">
        <w:rPr>
          <w:rFonts w:ascii="Times New Roman" w:hAnsi="Times New Roman" w:cs="Times New Roman"/>
          <w:sz w:val="24"/>
          <w:szCs w:val="24"/>
        </w:rPr>
        <w:t xml:space="preserve"> its insured</w:t>
      </w:r>
      <w:r>
        <w:rPr>
          <w:rFonts w:ascii="Times New Roman" w:hAnsi="Times New Roman" w:cs="Times New Roman"/>
          <w:sz w:val="24"/>
          <w:szCs w:val="24"/>
        </w:rPr>
        <w:t xml:space="preserve"> </w:t>
      </w:r>
      <w:r w:rsidRPr="00006597">
        <w:rPr>
          <w:rFonts w:ascii="Times New Roman" w:hAnsi="Times New Roman" w:cs="Times New Roman"/>
          <w:sz w:val="24"/>
          <w:szCs w:val="24"/>
        </w:rPr>
        <w:t>affiliates.</w:t>
      </w:r>
      <w:r>
        <w:rPr>
          <w:rStyle w:val="EndnoteReference"/>
          <w:rFonts w:ascii="Times New Roman" w:hAnsi="Times New Roman" w:cs="Times New Roman"/>
          <w:sz w:val="24"/>
          <w:szCs w:val="24"/>
        </w:rPr>
        <w:endnoteReference w:id="145"/>
      </w:r>
      <w:r>
        <w:rPr>
          <w:rFonts w:ascii="Times New Roman" w:hAnsi="Times New Roman" w:cs="Times New Roman"/>
          <w:sz w:val="24"/>
          <w:szCs w:val="24"/>
        </w:rPr>
        <w:t xml:space="preserve">  </w:t>
      </w:r>
      <w:r w:rsidRPr="00006597">
        <w:rPr>
          <w:rFonts w:ascii="Times New Roman" w:hAnsi="Times New Roman" w:cs="Times New Roman"/>
          <w:sz w:val="24"/>
          <w:szCs w:val="24"/>
        </w:rPr>
        <w:t>The premium rates charged</w:t>
      </w:r>
      <w:r>
        <w:rPr>
          <w:rFonts w:ascii="Times New Roman" w:hAnsi="Times New Roman" w:cs="Times New Roman"/>
          <w:sz w:val="24"/>
          <w:szCs w:val="24"/>
        </w:rPr>
        <w:t xml:space="preserve"> by the affiliated captive</w:t>
      </w:r>
      <w:r w:rsidRPr="00006597">
        <w:rPr>
          <w:rFonts w:ascii="Times New Roman" w:hAnsi="Times New Roman" w:cs="Times New Roman"/>
          <w:sz w:val="24"/>
          <w:szCs w:val="24"/>
        </w:rPr>
        <w:t xml:space="preserve"> in</w:t>
      </w:r>
      <w:r>
        <w:rPr>
          <w:rFonts w:ascii="Times New Roman" w:hAnsi="Times New Roman" w:cs="Times New Roman"/>
          <w:sz w:val="24"/>
          <w:szCs w:val="24"/>
        </w:rPr>
        <w:t xml:space="preserve"> </w:t>
      </w:r>
      <w:r w:rsidRPr="00AC40FA">
        <w:rPr>
          <w:rFonts w:ascii="Times New Roman" w:hAnsi="Times New Roman" w:cs="Times New Roman"/>
          <w:i/>
          <w:sz w:val="24"/>
          <w:szCs w:val="24"/>
        </w:rPr>
        <w:t>Harper</w:t>
      </w:r>
      <w:r w:rsidRPr="00006597">
        <w:rPr>
          <w:rFonts w:ascii="Times New Roman" w:hAnsi="Times New Roman" w:cs="Times New Roman"/>
          <w:sz w:val="24"/>
          <w:szCs w:val="24"/>
        </w:rPr>
        <w:t xml:space="preserve"> </w:t>
      </w:r>
      <w:r>
        <w:rPr>
          <w:rFonts w:ascii="Times New Roman" w:hAnsi="Times New Roman" w:cs="Times New Roman"/>
          <w:sz w:val="24"/>
          <w:szCs w:val="24"/>
        </w:rPr>
        <w:t>“</w:t>
      </w:r>
      <w:r w:rsidRPr="0023377A">
        <w:rPr>
          <w:rFonts w:ascii="Times New Roman" w:hAnsi="Times New Roman" w:cs="Times New Roman"/>
          <w:b/>
          <w:i/>
          <w:sz w:val="24"/>
          <w:szCs w:val="24"/>
        </w:rPr>
        <w:t>were determined by reference to competitive pricing</w:t>
      </w:r>
      <w:r>
        <w:rPr>
          <w:rFonts w:ascii="Times New Roman" w:hAnsi="Times New Roman" w:cs="Times New Roman"/>
          <w:b/>
          <w:i/>
          <w:sz w:val="24"/>
          <w:szCs w:val="24"/>
        </w:rPr>
        <w:t xml:space="preserve"> and other relevant factors</w:t>
      </w:r>
      <w:r>
        <w:rPr>
          <w:rFonts w:ascii="Times New Roman" w:hAnsi="Times New Roman" w:cs="Times New Roman"/>
          <w:sz w:val="24"/>
          <w:szCs w:val="24"/>
        </w:rPr>
        <w:t xml:space="preserve">” </w:t>
      </w:r>
      <w:r w:rsidRPr="00006597">
        <w:rPr>
          <w:rFonts w:ascii="Times New Roman" w:hAnsi="Times New Roman" w:cs="Times New Roman"/>
          <w:sz w:val="24"/>
          <w:szCs w:val="24"/>
        </w:rPr>
        <w:t xml:space="preserve">gathered by the management </w:t>
      </w:r>
      <w:r>
        <w:rPr>
          <w:rFonts w:ascii="Times New Roman" w:hAnsi="Times New Roman" w:cs="Times New Roman"/>
          <w:sz w:val="24"/>
          <w:szCs w:val="24"/>
        </w:rPr>
        <w:t xml:space="preserve">of the petitioner Harper (and its domestic subsidiaries) </w:t>
      </w:r>
      <w:r w:rsidRPr="00006597">
        <w:rPr>
          <w:rFonts w:ascii="Times New Roman" w:hAnsi="Times New Roman" w:cs="Times New Roman"/>
          <w:sz w:val="24"/>
          <w:szCs w:val="24"/>
        </w:rPr>
        <w:t>in the course of their</w:t>
      </w:r>
      <w:r>
        <w:rPr>
          <w:rFonts w:ascii="Times New Roman" w:hAnsi="Times New Roman" w:cs="Times New Roman"/>
          <w:sz w:val="24"/>
          <w:szCs w:val="24"/>
        </w:rPr>
        <w:t xml:space="preserve"> </w:t>
      </w:r>
      <w:r w:rsidRPr="00006597">
        <w:rPr>
          <w:rFonts w:ascii="Times New Roman" w:hAnsi="Times New Roman" w:cs="Times New Roman"/>
          <w:sz w:val="24"/>
          <w:szCs w:val="24"/>
        </w:rPr>
        <w:t>business and incorporated in the rates approved by the captive</w:t>
      </w:r>
      <w:r>
        <w:rPr>
          <w:rFonts w:ascii="Times New Roman" w:hAnsi="Times New Roman" w:cs="Times New Roman"/>
          <w:sz w:val="24"/>
          <w:szCs w:val="24"/>
        </w:rPr>
        <w:t xml:space="preserve"> </w:t>
      </w:r>
      <w:r w:rsidRPr="00006597">
        <w:rPr>
          <w:rFonts w:ascii="Times New Roman" w:hAnsi="Times New Roman" w:cs="Times New Roman"/>
          <w:sz w:val="24"/>
          <w:szCs w:val="24"/>
        </w:rPr>
        <w:t>insurance company.</w:t>
      </w:r>
      <w:r>
        <w:rPr>
          <w:rFonts w:ascii="Times New Roman" w:hAnsi="Times New Roman" w:cs="Times New Roman"/>
          <w:sz w:val="24"/>
          <w:szCs w:val="24"/>
        </w:rPr>
        <w:t>”</w:t>
      </w:r>
      <w:r>
        <w:rPr>
          <w:rStyle w:val="EndnoteReference"/>
          <w:rFonts w:ascii="Times New Roman" w:hAnsi="Times New Roman" w:cs="Times New Roman"/>
          <w:sz w:val="24"/>
          <w:szCs w:val="24"/>
        </w:rPr>
        <w:endnoteReference w:id="146"/>
      </w:r>
      <w:r>
        <w:rPr>
          <w:rFonts w:ascii="Times New Roman" w:hAnsi="Times New Roman" w:cs="Times New Roman"/>
          <w:sz w:val="24"/>
          <w:szCs w:val="24"/>
        </w:rPr>
        <w:t xml:space="preserve">  </w:t>
      </w:r>
      <w:r w:rsidRPr="00AE51C2">
        <w:rPr>
          <w:rFonts w:ascii="Times New Roman" w:hAnsi="Times New Roman" w:cs="Times New Roman"/>
          <w:i/>
          <w:sz w:val="24"/>
          <w:szCs w:val="24"/>
        </w:rPr>
        <w:t>Harper</w:t>
      </w:r>
      <w:r>
        <w:rPr>
          <w:rFonts w:ascii="Times New Roman" w:hAnsi="Times New Roman" w:cs="Times New Roman"/>
          <w:sz w:val="24"/>
          <w:szCs w:val="24"/>
        </w:rPr>
        <w:t xml:space="preserve"> noted that its “</w:t>
      </w:r>
      <w:r w:rsidRPr="005C3138">
        <w:rPr>
          <w:rFonts w:ascii="Times New Roman" w:hAnsi="Times New Roman" w:cs="Times New Roman"/>
          <w:b/>
          <w:i/>
          <w:sz w:val="24"/>
          <w:szCs w:val="24"/>
        </w:rPr>
        <w:t>rates were not determined by reference to actuarially determined loss projections</w:t>
      </w:r>
      <w:r>
        <w:rPr>
          <w:rFonts w:ascii="Times New Roman" w:hAnsi="Times New Roman" w:cs="Times New Roman"/>
          <w:sz w:val="24"/>
          <w:szCs w:val="24"/>
        </w:rPr>
        <w:t>.”</w:t>
      </w:r>
      <w:r>
        <w:rPr>
          <w:rStyle w:val="EndnoteReference"/>
          <w:rFonts w:ascii="Times New Roman" w:hAnsi="Times New Roman" w:cs="Times New Roman"/>
          <w:sz w:val="24"/>
          <w:szCs w:val="24"/>
        </w:rPr>
        <w:endnoteReference w:id="147"/>
      </w:r>
      <w:r>
        <w:rPr>
          <w:rFonts w:ascii="Times New Roman" w:hAnsi="Times New Roman" w:cs="Times New Roman"/>
          <w:sz w:val="24"/>
          <w:szCs w:val="24"/>
        </w:rPr>
        <w:t xml:space="preserve">  Still, the </w:t>
      </w:r>
      <w:r w:rsidRPr="00AE51C2">
        <w:rPr>
          <w:rFonts w:ascii="Times New Roman" w:hAnsi="Times New Roman" w:cs="Times New Roman"/>
          <w:i/>
          <w:sz w:val="24"/>
          <w:szCs w:val="24"/>
        </w:rPr>
        <w:t>Harper</w:t>
      </w:r>
      <w:r>
        <w:rPr>
          <w:rFonts w:ascii="Times New Roman" w:hAnsi="Times New Roman" w:cs="Times New Roman"/>
          <w:sz w:val="24"/>
          <w:szCs w:val="24"/>
        </w:rPr>
        <w:t xml:space="preserve"> court </w:t>
      </w:r>
      <w:r w:rsidRPr="00006597">
        <w:rPr>
          <w:rFonts w:ascii="Times New Roman" w:hAnsi="Times New Roman" w:cs="Times New Roman"/>
          <w:sz w:val="24"/>
          <w:szCs w:val="24"/>
        </w:rPr>
        <w:t>specifically held that the determination of the premiums in this</w:t>
      </w:r>
      <w:r>
        <w:rPr>
          <w:rFonts w:ascii="Times New Roman" w:hAnsi="Times New Roman" w:cs="Times New Roman"/>
          <w:sz w:val="24"/>
          <w:szCs w:val="24"/>
        </w:rPr>
        <w:t xml:space="preserve"> </w:t>
      </w:r>
      <w:r w:rsidRPr="00006597">
        <w:rPr>
          <w:rFonts w:ascii="Times New Roman" w:hAnsi="Times New Roman" w:cs="Times New Roman"/>
          <w:sz w:val="24"/>
          <w:szCs w:val="24"/>
        </w:rPr>
        <w:t>manner was proper</w:t>
      </w:r>
      <w:r>
        <w:rPr>
          <w:rFonts w:ascii="Times New Roman" w:hAnsi="Times New Roman" w:cs="Times New Roman"/>
          <w:sz w:val="24"/>
          <w:szCs w:val="24"/>
        </w:rPr>
        <w:t xml:space="preserve"> and concluded that </w:t>
      </w:r>
      <w:r w:rsidRPr="00A2528E">
        <w:rPr>
          <w:rFonts w:ascii="Times New Roman" w:hAnsi="Times New Roman" w:cs="Times New Roman"/>
          <w:sz w:val="24"/>
          <w:szCs w:val="24"/>
        </w:rPr>
        <w:t xml:space="preserve">the arrangements between </w:t>
      </w:r>
      <w:r>
        <w:rPr>
          <w:rFonts w:ascii="Times New Roman" w:hAnsi="Times New Roman" w:cs="Times New Roman"/>
          <w:sz w:val="24"/>
          <w:szCs w:val="24"/>
        </w:rPr>
        <w:t xml:space="preserve">the captive (Rampart) and its insured </w:t>
      </w:r>
      <w:r w:rsidRPr="00A2528E">
        <w:rPr>
          <w:rFonts w:ascii="Times New Roman" w:hAnsi="Times New Roman" w:cs="Times New Roman"/>
          <w:sz w:val="24"/>
          <w:szCs w:val="24"/>
        </w:rPr>
        <w:t>domestic subsidiaries constituted insurance</w:t>
      </w:r>
      <w:r>
        <w:rPr>
          <w:rFonts w:ascii="Times New Roman" w:hAnsi="Times New Roman" w:cs="Times New Roman"/>
          <w:sz w:val="24"/>
          <w:szCs w:val="24"/>
        </w:rPr>
        <w:t xml:space="preserve"> </w:t>
      </w:r>
      <w:r w:rsidRPr="00A2528E">
        <w:rPr>
          <w:rFonts w:ascii="Times New Roman" w:hAnsi="Times New Roman" w:cs="Times New Roman"/>
          <w:sz w:val="24"/>
          <w:szCs w:val="24"/>
        </w:rPr>
        <w:t xml:space="preserve"> in the commonly accepted sense</w:t>
      </w:r>
      <w:r w:rsidRPr="00006597">
        <w:rPr>
          <w:rFonts w:ascii="Times New Roman" w:hAnsi="Times New Roman" w:cs="Times New Roman"/>
          <w:sz w:val="24"/>
          <w:szCs w:val="24"/>
        </w:rPr>
        <w:t>.</w:t>
      </w:r>
      <w:r>
        <w:rPr>
          <w:rStyle w:val="EndnoteReference"/>
          <w:rFonts w:ascii="Times New Roman" w:hAnsi="Times New Roman" w:cs="Times New Roman"/>
          <w:sz w:val="24"/>
          <w:szCs w:val="24"/>
        </w:rPr>
        <w:endnoteReference w:id="148"/>
      </w:r>
    </w:p>
    <w:p w14:paraId="7DA44F55" w14:textId="77777777" w:rsidR="000A2139" w:rsidRDefault="000A2139" w:rsidP="00007BDD">
      <w:pPr>
        <w:spacing w:after="0" w:line="240" w:lineRule="auto"/>
        <w:rPr>
          <w:rFonts w:ascii="Times New Roman" w:hAnsi="Times New Roman" w:cs="Times New Roman"/>
          <w:sz w:val="24"/>
          <w:szCs w:val="24"/>
        </w:rPr>
      </w:pPr>
    </w:p>
    <w:p w14:paraId="23845DCE" w14:textId="77777777" w:rsidR="000A2139" w:rsidRPr="000076EC" w:rsidRDefault="000A2139" w:rsidP="00007BDD">
      <w:pPr>
        <w:spacing w:after="0" w:line="240" w:lineRule="auto"/>
        <w:rPr>
          <w:rFonts w:ascii="Times New Roman" w:hAnsi="Times New Roman" w:cs="Times New Roman"/>
          <w:sz w:val="24"/>
          <w:szCs w:val="24"/>
        </w:rPr>
      </w:pPr>
      <w:r w:rsidRPr="00EF59F7">
        <w:rPr>
          <w:rFonts w:ascii="Times New Roman" w:hAnsi="Times New Roman" w:cs="Times New Roman"/>
          <w:sz w:val="24"/>
          <w:szCs w:val="24"/>
        </w:rPr>
        <w:lastRenderedPageBreak/>
        <w:t xml:space="preserve">In </w:t>
      </w:r>
      <w:r w:rsidRPr="00EF59F7">
        <w:rPr>
          <w:rFonts w:ascii="Times New Roman" w:hAnsi="Times New Roman" w:cs="Times New Roman"/>
          <w:i/>
          <w:sz w:val="24"/>
          <w:szCs w:val="24"/>
        </w:rPr>
        <w:t>Reserve</w:t>
      </w:r>
      <w:r w:rsidRPr="00EF59F7">
        <w:rPr>
          <w:rFonts w:ascii="Times New Roman" w:hAnsi="Times New Roman" w:cs="Times New Roman"/>
          <w:sz w:val="24"/>
          <w:szCs w:val="24"/>
        </w:rPr>
        <w:t xml:space="preserve">, after considering the input and advice from various insurance professionals, </w:t>
      </w:r>
      <w:r w:rsidRPr="00A2631B">
        <w:rPr>
          <w:rFonts w:ascii="Times New Roman" w:hAnsi="Times New Roman" w:cs="Times New Roman"/>
          <w:sz w:val="24"/>
          <w:szCs w:val="24"/>
        </w:rPr>
        <w:t>including Mr. McNeel, a Capstone employee with substantial insurance and insurance underwriting expertise, and after considering data sources, including Mid-Continent’s pricing indications received by Capstone (which represented the prices that Mid-Continent would charge for the same types of policies that were issued by Reserve), Reserve set the premiums for its direct</w:t>
      </w:r>
      <w:r w:rsidRPr="00EF59F7">
        <w:rPr>
          <w:rFonts w:ascii="Times New Roman" w:hAnsi="Times New Roman" w:cs="Times New Roman"/>
          <w:sz w:val="24"/>
          <w:szCs w:val="24"/>
        </w:rPr>
        <w:t xml:space="preserve"> written policies.</w:t>
      </w:r>
      <w:r w:rsidRPr="0000659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076EC">
        <w:rPr>
          <w:rFonts w:ascii="Times New Roman" w:hAnsi="Times New Roman" w:cs="Times New Roman"/>
          <w:sz w:val="24"/>
          <w:szCs w:val="24"/>
        </w:rPr>
        <w:t xml:space="preserve">Moreover, Dr. </w:t>
      </w:r>
      <w:r>
        <w:rPr>
          <w:rFonts w:ascii="Times New Roman" w:hAnsi="Times New Roman" w:cs="Times New Roman"/>
          <w:sz w:val="24"/>
          <w:szCs w:val="24"/>
        </w:rPr>
        <w:t xml:space="preserve">Neil </w:t>
      </w:r>
      <w:r w:rsidRPr="000076EC">
        <w:rPr>
          <w:rFonts w:ascii="Times New Roman" w:hAnsi="Times New Roman" w:cs="Times New Roman"/>
          <w:sz w:val="24"/>
          <w:szCs w:val="24"/>
        </w:rPr>
        <w:t>Doherty, while not opining on the</w:t>
      </w:r>
      <w:r>
        <w:rPr>
          <w:rFonts w:ascii="Times New Roman" w:hAnsi="Times New Roman" w:cs="Times New Roman"/>
          <w:sz w:val="24"/>
          <w:szCs w:val="24"/>
        </w:rPr>
        <w:t xml:space="preserve"> </w:t>
      </w:r>
      <w:r w:rsidRPr="000076EC">
        <w:rPr>
          <w:rFonts w:ascii="Times New Roman" w:hAnsi="Times New Roman" w:cs="Times New Roman"/>
          <w:sz w:val="24"/>
          <w:szCs w:val="24"/>
        </w:rPr>
        <w:t>pricing results</w:t>
      </w:r>
      <w:r>
        <w:rPr>
          <w:rFonts w:ascii="Times New Roman" w:hAnsi="Times New Roman" w:cs="Times New Roman"/>
          <w:sz w:val="24"/>
          <w:szCs w:val="24"/>
        </w:rPr>
        <w:t xml:space="preserve"> of Reserve’s policies</w:t>
      </w:r>
      <w:r w:rsidRPr="000076EC">
        <w:rPr>
          <w:rFonts w:ascii="Times New Roman" w:hAnsi="Times New Roman" w:cs="Times New Roman"/>
          <w:sz w:val="24"/>
          <w:szCs w:val="24"/>
        </w:rPr>
        <w:t xml:space="preserve">, viewed </w:t>
      </w:r>
      <w:r>
        <w:rPr>
          <w:rFonts w:ascii="Times New Roman" w:hAnsi="Times New Roman" w:cs="Times New Roman"/>
          <w:sz w:val="24"/>
          <w:szCs w:val="24"/>
        </w:rPr>
        <w:t>Reserve’s</w:t>
      </w:r>
      <w:r w:rsidRPr="000076EC">
        <w:rPr>
          <w:rFonts w:ascii="Times New Roman" w:hAnsi="Times New Roman" w:cs="Times New Roman"/>
          <w:sz w:val="24"/>
          <w:szCs w:val="24"/>
        </w:rPr>
        <w:t xml:space="preserve"> </w:t>
      </w:r>
      <w:r>
        <w:rPr>
          <w:rFonts w:ascii="Times New Roman" w:hAnsi="Times New Roman" w:cs="Times New Roman"/>
          <w:sz w:val="24"/>
          <w:szCs w:val="24"/>
        </w:rPr>
        <w:t xml:space="preserve">pricing </w:t>
      </w:r>
      <w:r w:rsidRPr="000076EC">
        <w:rPr>
          <w:rFonts w:ascii="Times New Roman" w:hAnsi="Times New Roman" w:cs="Times New Roman"/>
          <w:sz w:val="24"/>
          <w:szCs w:val="24"/>
        </w:rPr>
        <w:t>methodology as reasonable.</w:t>
      </w:r>
      <w:r>
        <w:rPr>
          <w:rStyle w:val="EndnoteReference"/>
          <w:rFonts w:ascii="Times New Roman" w:hAnsi="Times New Roman" w:cs="Times New Roman"/>
          <w:sz w:val="24"/>
          <w:szCs w:val="24"/>
        </w:rPr>
        <w:endnoteReference w:id="149"/>
      </w:r>
    </w:p>
    <w:p w14:paraId="280F5DDC" w14:textId="77777777" w:rsidR="000A2139" w:rsidRDefault="000A2139" w:rsidP="00007BDD">
      <w:pPr>
        <w:spacing w:after="0" w:line="240" w:lineRule="auto"/>
        <w:rPr>
          <w:rFonts w:ascii="Times New Roman" w:hAnsi="Times New Roman" w:cs="Times New Roman"/>
          <w:sz w:val="24"/>
          <w:szCs w:val="24"/>
        </w:rPr>
      </w:pPr>
    </w:p>
    <w:p w14:paraId="70909956" w14:textId="77C3F7AC" w:rsidR="000A2139" w:rsidRDefault="000A2139" w:rsidP="00007BD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Reserve’s </w:t>
      </w:r>
      <w:r w:rsidRPr="000076EC">
        <w:rPr>
          <w:rFonts w:ascii="Times New Roman" w:hAnsi="Times New Roman" w:cs="Times New Roman"/>
          <w:sz w:val="24"/>
          <w:szCs w:val="24"/>
        </w:rPr>
        <w:t>policies provided</w:t>
      </w:r>
      <w:r>
        <w:rPr>
          <w:rFonts w:ascii="Times New Roman" w:hAnsi="Times New Roman" w:cs="Times New Roman"/>
          <w:sz w:val="24"/>
          <w:szCs w:val="24"/>
        </w:rPr>
        <w:t xml:space="preserve"> </w:t>
      </w:r>
      <w:r w:rsidRPr="000076EC">
        <w:rPr>
          <w:rFonts w:ascii="Times New Roman" w:hAnsi="Times New Roman" w:cs="Times New Roman"/>
          <w:sz w:val="24"/>
          <w:szCs w:val="24"/>
        </w:rPr>
        <w:t>coverages for which loss data was not readily available to</w:t>
      </w:r>
      <w:r>
        <w:rPr>
          <w:rFonts w:ascii="Times New Roman" w:hAnsi="Times New Roman" w:cs="Times New Roman"/>
          <w:sz w:val="24"/>
          <w:szCs w:val="24"/>
        </w:rPr>
        <w:t xml:space="preserve"> </w:t>
      </w:r>
      <w:r w:rsidRPr="000076EC">
        <w:rPr>
          <w:rFonts w:ascii="Times New Roman" w:hAnsi="Times New Roman" w:cs="Times New Roman"/>
          <w:sz w:val="24"/>
          <w:szCs w:val="24"/>
        </w:rPr>
        <w:t>forecast potential losses.</w:t>
      </w:r>
      <w:r>
        <w:rPr>
          <w:rFonts w:ascii="Times New Roman" w:hAnsi="Times New Roman" w:cs="Times New Roman"/>
          <w:sz w:val="24"/>
          <w:szCs w:val="24"/>
        </w:rPr>
        <w:t xml:space="preserve">  </w:t>
      </w:r>
      <w:r w:rsidRPr="000076EC">
        <w:rPr>
          <w:rFonts w:ascii="Times New Roman" w:hAnsi="Times New Roman" w:cs="Times New Roman"/>
          <w:sz w:val="24"/>
          <w:szCs w:val="24"/>
        </w:rPr>
        <w:t>The evidence demonstrate</w:t>
      </w:r>
      <w:r>
        <w:rPr>
          <w:rFonts w:ascii="Times New Roman" w:hAnsi="Times New Roman" w:cs="Times New Roman"/>
          <w:sz w:val="24"/>
          <w:szCs w:val="24"/>
        </w:rPr>
        <w:t>d</w:t>
      </w:r>
      <w:r w:rsidRPr="000076EC">
        <w:rPr>
          <w:rFonts w:ascii="Times New Roman" w:hAnsi="Times New Roman" w:cs="Times New Roman"/>
          <w:sz w:val="24"/>
          <w:szCs w:val="24"/>
        </w:rPr>
        <w:t xml:space="preserve"> that</w:t>
      </w:r>
      <w:r>
        <w:rPr>
          <w:rFonts w:ascii="Times New Roman" w:hAnsi="Times New Roman" w:cs="Times New Roman"/>
          <w:sz w:val="24"/>
          <w:szCs w:val="24"/>
        </w:rPr>
        <w:t xml:space="preserve"> </w:t>
      </w:r>
      <w:r w:rsidRPr="000076EC">
        <w:rPr>
          <w:rFonts w:ascii="Times New Roman" w:hAnsi="Times New Roman" w:cs="Times New Roman"/>
          <w:sz w:val="24"/>
          <w:szCs w:val="24"/>
        </w:rPr>
        <w:t>in the insurance industry</w:t>
      </w:r>
      <w:r>
        <w:rPr>
          <w:rFonts w:ascii="Times New Roman" w:hAnsi="Times New Roman" w:cs="Times New Roman"/>
          <w:sz w:val="24"/>
          <w:szCs w:val="24"/>
        </w:rPr>
        <w:t xml:space="preserve"> it is not unusual that </w:t>
      </w:r>
      <w:r w:rsidRPr="000076EC">
        <w:rPr>
          <w:rFonts w:ascii="Times New Roman" w:hAnsi="Times New Roman" w:cs="Times New Roman"/>
          <w:sz w:val="24"/>
          <w:szCs w:val="24"/>
        </w:rPr>
        <w:t>insurance</w:t>
      </w:r>
      <w:r>
        <w:rPr>
          <w:rFonts w:ascii="Times New Roman" w:hAnsi="Times New Roman" w:cs="Times New Roman"/>
          <w:sz w:val="24"/>
          <w:szCs w:val="24"/>
        </w:rPr>
        <w:t xml:space="preserve"> </w:t>
      </w:r>
      <w:r w:rsidRPr="000076EC">
        <w:rPr>
          <w:rFonts w:ascii="Times New Roman" w:hAnsi="Times New Roman" w:cs="Times New Roman"/>
          <w:sz w:val="24"/>
          <w:szCs w:val="24"/>
        </w:rPr>
        <w:t xml:space="preserve">policies </w:t>
      </w:r>
      <w:r>
        <w:rPr>
          <w:rFonts w:ascii="Times New Roman" w:hAnsi="Times New Roman" w:cs="Times New Roman"/>
          <w:sz w:val="24"/>
          <w:szCs w:val="24"/>
        </w:rPr>
        <w:t xml:space="preserve">be </w:t>
      </w:r>
      <w:r w:rsidRPr="000076EC">
        <w:rPr>
          <w:rFonts w:ascii="Times New Roman" w:hAnsi="Times New Roman" w:cs="Times New Roman"/>
          <w:sz w:val="24"/>
          <w:szCs w:val="24"/>
        </w:rPr>
        <w:t>regularly written without readily available loss</w:t>
      </w:r>
      <w:r>
        <w:rPr>
          <w:rFonts w:ascii="Times New Roman" w:hAnsi="Times New Roman" w:cs="Times New Roman"/>
          <w:sz w:val="24"/>
          <w:szCs w:val="24"/>
        </w:rPr>
        <w:t xml:space="preserve"> </w:t>
      </w:r>
      <w:r w:rsidRPr="000076EC">
        <w:rPr>
          <w:rFonts w:ascii="Times New Roman" w:hAnsi="Times New Roman" w:cs="Times New Roman"/>
          <w:sz w:val="24"/>
          <w:szCs w:val="24"/>
        </w:rPr>
        <w:t>data to forecast losses.</w:t>
      </w:r>
      <w:r>
        <w:rPr>
          <w:rStyle w:val="EndnoteReference"/>
          <w:rFonts w:ascii="Times New Roman" w:hAnsi="Times New Roman" w:cs="Times New Roman"/>
          <w:sz w:val="24"/>
          <w:szCs w:val="24"/>
        </w:rPr>
        <w:endnoteReference w:id="150"/>
      </w:r>
      <w:r>
        <w:rPr>
          <w:rFonts w:ascii="Times New Roman" w:hAnsi="Times New Roman" w:cs="Times New Roman"/>
          <w:sz w:val="24"/>
          <w:szCs w:val="24"/>
        </w:rPr>
        <w:t xml:space="preserve">  Reserve</w:t>
      </w:r>
      <w:r w:rsidRPr="000076EC">
        <w:rPr>
          <w:rFonts w:ascii="Times New Roman" w:hAnsi="Times New Roman" w:cs="Times New Roman"/>
          <w:sz w:val="24"/>
          <w:szCs w:val="24"/>
        </w:rPr>
        <w:t xml:space="preserve"> also introduced the expert</w:t>
      </w:r>
      <w:r>
        <w:rPr>
          <w:rFonts w:ascii="Times New Roman" w:hAnsi="Times New Roman" w:cs="Times New Roman"/>
          <w:sz w:val="24"/>
          <w:szCs w:val="24"/>
        </w:rPr>
        <w:t xml:space="preserve"> </w:t>
      </w:r>
      <w:r w:rsidRPr="000076EC">
        <w:rPr>
          <w:rFonts w:ascii="Times New Roman" w:hAnsi="Times New Roman" w:cs="Times New Roman"/>
          <w:sz w:val="24"/>
          <w:szCs w:val="24"/>
        </w:rPr>
        <w:t>testimony of two actuaries, Ms. Mead and Mr. Solomon, who</w:t>
      </w:r>
      <w:r>
        <w:rPr>
          <w:rFonts w:ascii="Times New Roman" w:hAnsi="Times New Roman" w:cs="Times New Roman"/>
          <w:sz w:val="24"/>
          <w:szCs w:val="24"/>
        </w:rPr>
        <w:t xml:space="preserve"> </w:t>
      </w:r>
      <w:r w:rsidRPr="000076EC">
        <w:rPr>
          <w:rFonts w:ascii="Times New Roman" w:hAnsi="Times New Roman" w:cs="Times New Roman"/>
          <w:sz w:val="24"/>
          <w:szCs w:val="24"/>
        </w:rPr>
        <w:t>performed actuarial analyses and determined that the premiums</w:t>
      </w:r>
      <w:r>
        <w:rPr>
          <w:rFonts w:ascii="Times New Roman" w:hAnsi="Times New Roman" w:cs="Times New Roman"/>
          <w:sz w:val="24"/>
          <w:szCs w:val="24"/>
        </w:rPr>
        <w:t xml:space="preserve"> that Reserve c</w:t>
      </w:r>
      <w:r w:rsidRPr="000076EC">
        <w:rPr>
          <w:rFonts w:ascii="Times New Roman" w:hAnsi="Times New Roman" w:cs="Times New Roman"/>
          <w:sz w:val="24"/>
          <w:szCs w:val="24"/>
        </w:rPr>
        <w:t>harged during the tax years at issue were reasonable</w:t>
      </w:r>
      <w:r>
        <w:rPr>
          <w:rFonts w:ascii="Times New Roman" w:hAnsi="Times New Roman" w:cs="Times New Roman"/>
          <w:sz w:val="24"/>
          <w:szCs w:val="24"/>
        </w:rPr>
        <w:t xml:space="preserve"> </w:t>
      </w:r>
      <w:r w:rsidRPr="000076EC">
        <w:rPr>
          <w:rFonts w:ascii="Times New Roman" w:hAnsi="Times New Roman" w:cs="Times New Roman"/>
          <w:sz w:val="24"/>
          <w:szCs w:val="24"/>
        </w:rPr>
        <w:t>in amount.</w:t>
      </w:r>
      <w:r>
        <w:rPr>
          <w:rStyle w:val="EndnoteReference"/>
          <w:rFonts w:ascii="Times New Roman" w:hAnsi="Times New Roman" w:cs="Times New Roman"/>
          <w:sz w:val="24"/>
          <w:szCs w:val="24"/>
        </w:rPr>
        <w:endnoteReference w:id="151"/>
      </w:r>
      <w:r>
        <w:rPr>
          <w:rFonts w:ascii="Times New Roman" w:hAnsi="Times New Roman" w:cs="Times New Roman"/>
          <w:sz w:val="24"/>
          <w:szCs w:val="24"/>
        </w:rPr>
        <w:t xml:space="preserve"> No contrary testimony on pricing was offered by the government.</w:t>
      </w:r>
    </w:p>
    <w:p w14:paraId="76575EF7" w14:textId="77777777" w:rsidR="000A2139" w:rsidRDefault="000A2139" w:rsidP="00AC76E6">
      <w:pPr>
        <w:spacing w:after="0" w:line="240" w:lineRule="auto"/>
        <w:rPr>
          <w:rFonts w:ascii="Times New Roman" w:hAnsi="Times New Roman" w:cs="Times New Roman"/>
          <w:sz w:val="24"/>
          <w:szCs w:val="24"/>
        </w:rPr>
      </w:pPr>
    </w:p>
    <w:p w14:paraId="10E32B23" w14:textId="77777777" w:rsidR="000A2139" w:rsidRPr="00A2631B" w:rsidRDefault="000A2139" w:rsidP="00C473F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Despite the above </w:t>
      </w:r>
      <w:r w:rsidRPr="00A2631B">
        <w:rPr>
          <w:rFonts w:ascii="Times New Roman" w:hAnsi="Times New Roman" w:cs="Times New Roman"/>
          <w:sz w:val="24"/>
          <w:szCs w:val="24"/>
        </w:rPr>
        <w:t>evidence presented by Reserve at trial and no evidence whatsoever being presented by the government regarding the legitimacy of Reserve’s pricing methodology, the Court concluded that “the premiums paid for [Reserve’s] polices were not reasonable and not negotiated at arm’s length” and further concluded that “no unrelated party would reasonably agree to pay Reserve the premiums that Peak and the other insureds did for the coverage provided by the direct written policies.”</w:t>
      </w:r>
    </w:p>
    <w:p w14:paraId="75FA8580" w14:textId="77777777" w:rsidR="000A2139" w:rsidRPr="00A2631B" w:rsidRDefault="000A2139" w:rsidP="00C473F0">
      <w:pPr>
        <w:spacing w:after="0" w:line="240" w:lineRule="auto"/>
        <w:rPr>
          <w:rFonts w:ascii="Times New Roman" w:hAnsi="Times New Roman" w:cs="Times New Roman"/>
          <w:sz w:val="24"/>
          <w:szCs w:val="24"/>
        </w:rPr>
      </w:pPr>
    </w:p>
    <w:p w14:paraId="26E06AA6" w14:textId="77777777" w:rsidR="000A2139" w:rsidRPr="00A2631B" w:rsidRDefault="000A2139" w:rsidP="00983F96">
      <w:pPr>
        <w:spacing w:after="0" w:line="240" w:lineRule="auto"/>
        <w:rPr>
          <w:rFonts w:ascii="Times New Roman" w:hAnsi="Times New Roman" w:cs="Times New Roman"/>
          <w:sz w:val="24"/>
          <w:szCs w:val="24"/>
        </w:rPr>
      </w:pPr>
      <w:r w:rsidRPr="00A2631B">
        <w:rPr>
          <w:rFonts w:ascii="Times New Roman" w:hAnsi="Times New Roman" w:cs="Times New Roman"/>
          <w:sz w:val="24"/>
          <w:szCs w:val="24"/>
        </w:rPr>
        <w:t xml:space="preserve">As previously discussed, in the context of a captive insurance arrangement, which is generally directed at transactions with affiliates, the insurance transactions entered into between a captive and its affiliated insureds, by definition, will usually not be “the [direct] result of arm’s length negotiations.”  However, this fact alone does not justify the Court concluding that Reserve’s premiums were unreasonable.  </w:t>
      </w:r>
      <w:r w:rsidRPr="00A2631B">
        <w:rPr>
          <w:rFonts w:ascii="Times New Roman" w:hAnsi="Times New Roman" w:cs="Times New Roman"/>
          <w:sz w:val="24"/>
          <w:szCs w:val="24"/>
          <w:u w:val="single"/>
        </w:rPr>
        <w:t>The Court must conduct a further analysis to determine whether the price charged for a transaction between related taxpayers produces an “arm’s length” result</w:t>
      </w:r>
      <w:r w:rsidRPr="00A2631B">
        <w:rPr>
          <w:rFonts w:ascii="Times New Roman" w:hAnsi="Times New Roman" w:cs="Times New Roman"/>
          <w:sz w:val="24"/>
          <w:szCs w:val="24"/>
        </w:rPr>
        <w:t>.</w:t>
      </w:r>
    </w:p>
    <w:p w14:paraId="7EA36986" w14:textId="77777777" w:rsidR="000A2139" w:rsidRDefault="000A2139" w:rsidP="001960B7">
      <w:pPr>
        <w:spacing w:after="0" w:line="240" w:lineRule="auto"/>
        <w:rPr>
          <w:rFonts w:ascii="Times New Roman" w:hAnsi="Times New Roman" w:cs="Times New Roman"/>
          <w:sz w:val="24"/>
          <w:szCs w:val="24"/>
        </w:rPr>
      </w:pPr>
    </w:p>
    <w:p w14:paraId="56B61148" w14:textId="062B8702" w:rsidR="000A2139" w:rsidRPr="007B2AE1" w:rsidRDefault="000A2139" w:rsidP="001960B7">
      <w:pPr>
        <w:spacing w:after="0" w:line="240" w:lineRule="auto"/>
        <w:rPr>
          <w:rFonts w:ascii="Times New Roman" w:hAnsi="Times New Roman" w:cs="Times New Roman"/>
          <w:sz w:val="24"/>
          <w:szCs w:val="24"/>
        </w:rPr>
      </w:pPr>
      <w:r>
        <w:rPr>
          <w:rFonts w:ascii="Times New Roman" w:hAnsi="Times New Roman" w:cs="Times New Roman"/>
          <w:sz w:val="24"/>
          <w:szCs w:val="24"/>
        </w:rPr>
        <w:t>Reserve’s e</w:t>
      </w:r>
      <w:r w:rsidRPr="00960109">
        <w:rPr>
          <w:rFonts w:ascii="Times New Roman" w:hAnsi="Times New Roman" w:cs="Times New Roman"/>
          <w:sz w:val="24"/>
          <w:szCs w:val="24"/>
        </w:rPr>
        <w:t xml:space="preserve">vidence at trial demonstrated </w:t>
      </w:r>
      <w:r>
        <w:rPr>
          <w:rFonts w:ascii="Times New Roman" w:hAnsi="Times New Roman" w:cs="Times New Roman"/>
          <w:sz w:val="24"/>
          <w:szCs w:val="24"/>
        </w:rPr>
        <w:t xml:space="preserve">that </w:t>
      </w:r>
      <w:r w:rsidRPr="00960109">
        <w:rPr>
          <w:rFonts w:ascii="Times New Roman" w:hAnsi="Times New Roman" w:cs="Times New Roman"/>
          <w:sz w:val="24"/>
          <w:szCs w:val="24"/>
        </w:rPr>
        <w:t>the premiums charged were based upon independent third-party premium indications, themselves being arm’s</w:t>
      </w:r>
      <w:r>
        <w:rPr>
          <w:rFonts w:ascii="Times New Roman" w:hAnsi="Times New Roman" w:cs="Times New Roman"/>
          <w:sz w:val="24"/>
          <w:szCs w:val="24"/>
        </w:rPr>
        <w:t xml:space="preserve"> </w:t>
      </w:r>
      <w:r w:rsidRPr="00960109">
        <w:rPr>
          <w:rFonts w:ascii="Times New Roman" w:hAnsi="Times New Roman" w:cs="Times New Roman"/>
          <w:sz w:val="24"/>
          <w:szCs w:val="24"/>
        </w:rPr>
        <w:t>length pricing.</w:t>
      </w:r>
      <w:r>
        <w:rPr>
          <w:rStyle w:val="EndnoteReference"/>
          <w:rFonts w:ascii="Times New Roman" w:hAnsi="Times New Roman" w:cs="Times New Roman"/>
          <w:sz w:val="24"/>
          <w:szCs w:val="24"/>
        </w:rPr>
        <w:endnoteReference w:id="152"/>
      </w:r>
      <w:r>
        <w:rPr>
          <w:rFonts w:ascii="Times New Roman" w:hAnsi="Times New Roman" w:cs="Times New Roman"/>
          <w:sz w:val="24"/>
          <w:szCs w:val="24"/>
        </w:rPr>
        <w:t xml:space="preserve"> </w:t>
      </w:r>
      <w:r w:rsidRPr="00960109">
        <w:rPr>
          <w:rFonts w:ascii="Times New Roman" w:hAnsi="Times New Roman" w:cs="Times New Roman"/>
          <w:sz w:val="24"/>
          <w:szCs w:val="24"/>
        </w:rPr>
        <w:t xml:space="preserve"> This methodology was then tested against two independently employed actuaries who reached the conclusion</w:t>
      </w:r>
      <w:r>
        <w:rPr>
          <w:rFonts w:ascii="Times New Roman" w:hAnsi="Times New Roman" w:cs="Times New Roman"/>
          <w:sz w:val="24"/>
          <w:szCs w:val="24"/>
        </w:rPr>
        <w:t xml:space="preserve"> in their expert reports</w:t>
      </w:r>
      <w:r w:rsidRPr="00960109">
        <w:rPr>
          <w:rFonts w:ascii="Times New Roman" w:hAnsi="Times New Roman" w:cs="Times New Roman"/>
          <w:sz w:val="24"/>
          <w:szCs w:val="24"/>
        </w:rPr>
        <w:t xml:space="preserve"> that the premiums charged </w:t>
      </w:r>
      <w:r>
        <w:rPr>
          <w:rFonts w:ascii="Times New Roman" w:hAnsi="Times New Roman" w:cs="Times New Roman"/>
          <w:sz w:val="24"/>
          <w:szCs w:val="24"/>
        </w:rPr>
        <w:t xml:space="preserve">by Reserve were </w:t>
      </w:r>
      <w:r w:rsidRPr="00960109">
        <w:rPr>
          <w:rFonts w:ascii="Times New Roman" w:hAnsi="Times New Roman" w:cs="Times New Roman"/>
          <w:sz w:val="24"/>
          <w:szCs w:val="24"/>
        </w:rPr>
        <w:t>reasonable.</w:t>
      </w:r>
      <w:r>
        <w:rPr>
          <w:rStyle w:val="EndnoteReference"/>
          <w:rFonts w:ascii="Times New Roman" w:hAnsi="Times New Roman" w:cs="Times New Roman"/>
          <w:sz w:val="24"/>
          <w:szCs w:val="24"/>
        </w:rPr>
        <w:endnoteReference w:id="153"/>
      </w:r>
      <w:r>
        <w:rPr>
          <w:rFonts w:ascii="Times New Roman" w:hAnsi="Times New Roman" w:cs="Times New Roman"/>
          <w:sz w:val="24"/>
          <w:szCs w:val="24"/>
        </w:rPr>
        <w:t xml:space="preserve">  T</w:t>
      </w:r>
      <w:r w:rsidRPr="00DC2AD6">
        <w:rPr>
          <w:rFonts w:ascii="Times New Roman" w:hAnsi="Times New Roman" w:cs="Times New Roman"/>
          <w:sz w:val="24"/>
          <w:szCs w:val="24"/>
        </w:rPr>
        <w:t xml:space="preserve">he government did not </w:t>
      </w:r>
      <w:r>
        <w:rPr>
          <w:rFonts w:ascii="Times New Roman" w:hAnsi="Times New Roman" w:cs="Times New Roman"/>
          <w:sz w:val="24"/>
          <w:szCs w:val="24"/>
        </w:rPr>
        <w:t>offer any contrary evidence</w:t>
      </w:r>
      <w:r w:rsidRPr="00DC2AD6">
        <w:rPr>
          <w:rFonts w:ascii="Times New Roman" w:hAnsi="Times New Roman" w:cs="Times New Roman"/>
          <w:sz w:val="24"/>
          <w:szCs w:val="24"/>
        </w:rPr>
        <w:t xml:space="preserve">, choosing instead not to offer any pricing testimony.  </w:t>
      </w:r>
      <w:r w:rsidRPr="00960109">
        <w:rPr>
          <w:rFonts w:ascii="Times New Roman" w:hAnsi="Times New Roman" w:cs="Times New Roman"/>
          <w:sz w:val="24"/>
          <w:szCs w:val="24"/>
        </w:rPr>
        <w:t>The Court</w:t>
      </w:r>
      <w:r>
        <w:rPr>
          <w:rFonts w:ascii="Times New Roman" w:hAnsi="Times New Roman" w:cs="Times New Roman"/>
          <w:sz w:val="24"/>
          <w:szCs w:val="24"/>
        </w:rPr>
        <w:t>,</w:t>
      </w:r>
      <w:r w:rsidRPr="00960109">
        <w:rPr>
          <w:rFonts w:ascii="Times New Roman" w:hAnsi="Times New Roman" w:cs="Times New Roman"/>
          <w:sz w:val="24"/>
          <w:szCs w:val="24"/>
        </w:rPr>
        <w:t xml:space="preserve"> on the one hand</w:t>
      </w:r>
      <w:r>
        <w:rPr>
          <w:rFonts w:ascii="Times New Roman" w:hAnsi="Times New Roman" w:cs="Times New Roman"/>
          <w:sz w:val="24"/>
          <w:szCs w:val="24"/>
        </w:rPr>
        <w:t>,</w:t>
      </w:r>
      <w:r w:rsidRPr="00960109">
        <w:rPr>
          <w:rFonts w:ascii="Times New Roman" w:hAnsi="Times New Roman" w:cs="Times New Roman"/>
          <w:sz w:val="24"/>
          <w:szCs w:val="24"/>
        </w:rPr>
        <w:t xml:space="preserve"> recognized that Reserve’s premiums were calculated using “objective criteria and what appear to be actuarial methods” while at the same time </w:t>
      </w:r>
      <w:r>
        <w:rPr>
          <w:rFonts w:ascii="Times New Roman" w:hAnsi="Times New Roman" w:cs="Times New Roman"/>
          <w:sz w:val="24"/>
          <w:szCs w:val="24"/>
        </w:rPr>
        <w:t>inexplicably</w:t>
      </w:r>
      <w:r w:rsidRPr="00960109">
        <w:rPr>
          <w:rFonts w:ascii="Times New Roman" w:hAnsi="Times New Roman" w:cs="Times New Roman"/>
          <w:sz w:val="24"/>
          <w:szCs w:val="24"/>
        </w:rPr>
        <w:t xml:space="preserve"> concluding that the premiums charged by </w:t>
      </w:r>
      <w:r w:rsidRPr="007B2AE1">
        <w:rPr>
          <w:rFonts w:ascii="Times New Roman" w:hAnsi="Times New Roman" w:cs="Times New Roman"/>
          <w:sz w:val="24"/>
          <w:szCs w:val="24"/>
        </w:rPr>
        <w:t xml:space="preserve">Reserve </w:t>
      </w:r>
      <w:r>
        <w:rPr>
          <w:rFonts w:ascii="Times New Roman" w:hAnsi="Times New Roman" w:cs="Times New Roman"/>
          <w:sz w:val="24"/>
          <w:szCs w:val="24"/>
        </w:rPr>
        <w:t xml:space="preserve">were </w:t>
      </w:r>
      <w:r w:rsidRPr="007B2AE1">
        <w:rPr>
          <w:rFonts w:ascii="Times New Roman" w:hAnsi="Times New Roman" w:cs="Times New Roman"/>
          <w:sz w:val="24"/>
          <w:szCs w:val="24"/>
        </w:rPr>
        <w:t>“not reasonable and not negotiated at arm’s length.”</w:t>
      </w:r>
    </w:p>
    <w:p w14:paraId="21C1E993" w14:textId="77777777" w:rsidR="000A2139" w:rsidRPr="007B2AE1" w:rsidRDefault="000A2139" w:rsidP="001960B7">
      <w:pPr>
        <w:spacing w:after="0" w:line="240" w:lineRule="auto"/>
        <w:rPr>
          <w:rFonts w:ascii="Times New Roman" w:hAnsi="Times New Roman" w:cs="Times New Roman"/>
          <w:sz w:val="24"/>
          <w:szCs w:val="24"/>
        </w:rPr>
      </w:pPr>
    </w:p>
    <w:p w14:paraId="272A6DE4" w14:textId="50CE9C01" w:rsidR="000A2139" w:rsidRPr="00041966" w:rsidRDefault="000A2139" w:rsidP="00041966">
      <w:pPr>
        <w:spacing w:after="0" w:line="240" w:lineRule="auto"/>
        <w:rPr>
          <w:rFonts w:ascii="Times New Roman" w:hAnsi="Times New Roman" w:cs="Times New Roman"/>
          <w:sz w:val="24"/>
          <w:szCs w:val="24"/>
        </w:rPr>
      </w:pPr>
      <w:r w:rsidRPr="007B2AE1">
        <w:rPr>
          <w:rFonts w:ascii="Times New Roman" w:hAnsi="Times New Roman" w:cs="Times New Roman"/>
          <w:sz w:val="24"/>
          <w:szCs w:val="24"/>
        </w:rPr>
        <w:t xml:space="preserve">The </w:t>
      </w:r>
      <w:r w:rsidRPr="00067F53">
        <w:rPr>
          <w:rFonts w:ascii="Times New Roman" w:hAnsi="Times New Roman" w:cs="Times New Roman"/>
          <w:sz w:val="24"/>
          <w:szCs w:val="24"/>
        </w:rPr>
        <w:t>Court had no contrary evidence before it</w:t>
      </w:r>
      <w:r w:rsidRPr="007B2AE1">
        <w:rPr>
          <w:rFonts w:ascii="Times New Roman" w:hAnsi="Times New Roman" w:cs="Times New Roman"/>
          <w:sz w:val="24"/>
          <w:szCs w:val="24"/>
        </w:rPr>
        <w:t xml:space="preserve"> regarding the pricing of Reserve’s policies.  The only evidence presented regarding pricing was from Reserve, and the government failed to question pricing, presumably because it couldn’t, given the overwhelming evidence presented in this regard by Reserve.  The burden shifted to the government on this issue once Reserve </w:t>
      </w:r>
      <w:r w:rsidRPr="007B2AE1">
        <w:rPr>
          <w:rFonts w:ascii="Times New Roman" w:hAnsi="Times New Roman" w:cs="Times New Roman"/>
          <w:sz w:val="24"/>
          <w:szCs w:val="24"/>
        </w:rPr>
        <w:lastRenderedPageBreak/>
        <w:t xml:space="preserve">introduced </w:t>
      </w:r>
      <w:r>
        <w:rPr>
          <w:rFonts w:ascii="Times New Roman" w:hAnsi="Times New Roman" w:cs="Times New Roman"/>
          <w:sz w:val="24"/>
          <w:szCs w:val="24"/>
        </w:rPr>
        <w:t xml:space="preserve">credible </w:t>
      </w:r>
      <w:r w:rsidRPr="007B2AE1">
        <w:rPr>
          <w:rFonts w:ascii="Times New Roman" w:hAnsi="Times New Roman" w:cs="Times New Roman"/>
          <w:sz w:val="24"/>
          <w:szCs w:val="24"/>
        </w:rPr>
        <w:t>evidence establishing a prima facie case that the pricing of its direct written polices was reasonable.</w:t>
      </w:r>
    </w:p>
    <w:p w14:paraId="301A78EA" w14:textId="77777777" w:rsidR="000A2139" w:rsidRPr="00E113EB" w:rsidRDefault="000A2139" w:rsidP="00EC1F69">
      <w:pPr>
        <w:spacing w:after="0" w:line="240" w:lineRule="auto"/>
        <w:contextualSpacing/>
        <w:rPr>
          <w:rFonts w:ascii="Times New Roman" w:hAnsi="Times New Roman" w:cs="Times New Roman"/>
          <w:sz w:val="24"/>
          <w:szCs w:val="24"/>
        </w:rPr>
      </w:pPr>
    </w:p>
    <w:p w14:paraId="029D6E65" w14:textId="77777777" w:rsidR="000A2139" w:rsidRPr="00877BF6" w:rsidRDefault="000A2139" w:rsidP="00E113EB">
      <w:pPr>
        <w:pStyle w:val="Heading3"/>
        <w:spacing w:before="0" w:line="240" w:lineRule="auto"/>
        <w:rPr>
          <w:rFonts w:ascii="Times New Roman" w:hAnsi="Times New Roman" w:cs="Times New Roman"/>
          <w:b/>
          <w:color w:val="auto"/>
        </w:rPr>
      </w:pPr>
      <w:bookmarkStart w:id="49" w:name="_Toc534366187"/>
      <w:r w:rsidRPr="00877BF6">
        <w:rPr>
          <w:rFonts w:ascii="Times New Roman" w:hAnsi="Times New Roman" w:cs="Times New Roman"/>
          <w:b/>
          <w:color w:val="auto"/>
        </w:rPr>
        <w:t>5. Payment of Claims</w:t>
      </w:r>
      <w:bookmarkEnd w:id="49"/>
    </w:p>
    <w:p w14:paraId="6CA0D3CF" w14:textId="77777777" w:rsidR="000A2139" w:rsidRDefault="000A2139" w:rsidP="007C3D35">
      <w:pPr>
        <w:spacing w:after="0" w:line="240" w:lineRule="auto"/>
        <w:rPr>
          <w:rFonts w:ascii="Times New Roman" w:hAnsi="Times New Roman" w:cs="Times New Roman"/>
          <w:sz w:val="24"/>
          <w:szCs w:val="24"/>
        </w:rPr>
      </w:pPr>
    </w:p>
    <w:p w14:paraId="70EA921A" w14:textId="77777777" w:rsidR="000A2139" w:rsidRDefault="000A2139" w:rsidP="007C3D35">
      <w:pPr>
        <w:spacing w:after="0" w:line="240" w:lineRule="auto"/>
      </w:pPr>
      <w:r>
        <w:rPr>
          <w:rFonts w:ascii="Times New Roman" w:hAnsi="Times New Roman" w:cs="Times New Roman"/>
          <w:sz w:val="24"/>
          <w:szCs w:val="24"/>
        </w:rPr>
        <w:t xml:space="preserve">The </w:t>
      </w:r>
      <w:r w:rsidRPr="00037153">
        <w:rPr>
          <w:rFonts w:ascii="Times New Roman" w:hAnsi="Times New Roman" w:cs="Times New Roman"/>
          <w:sz w:val="24"/>
          <w:szCs w:val="24"/>
        </w:rPr>
        <w:t xml:space="preserve">Court found this factor to be present, but did not give this factor much weight, stating that </w:t>
      </w:r>
      <w:r>
        <w:rPr>
          <w:rFonts w:ascii="Times New Roman" w:hAnsi="Times New Roman" w:cs="Times New Roman"/>
          <w:sz w:val="24"/>
          <w:szCs w:val="24"/>
        </w:rPr>
        <w:t>it did</w:t>
      </w:r>
      <w:r w:rsidRPr="00037153">
        <w:rPr>
          <w:rFonts w:ascii="Times New Roman" w:hAnsi="Times New Roman" w:cs="Times New Roman"/>
          <w:sz w:val="24"/>
          <w:szCs w:val="24"/>
        </w:rPr>
        <w:t xml:space="preserve"> not regard Reserve’s claims payments as “</w:t>
      </w:r>
      <w:r w:rsidRPr="00E2725D">
        <w:rPr>
          <w:rFonts w:ascii="Times New Roman" w:hAnsi="Times New Roman" w:cs="Times New Roman"/>
          <w:sz w:val="24"/>
          <w:szCs w:val="24"/>
        </w:rPr>
        <w:t>overwhelming evidence</w:t>
      </w:r>
      <w:r w:rsidRPr="00037153">
        <w:rPr>
          <w:rFonts w:ascii="Times New Roman" w:hAnsi="Times New Roman" w:cs="Times New Roman"/>
          <w:sz w:val="24"/>
          <w:szCs w:val="24"/>
        </w:rPr>
        <w:t>”</w:t>
      </w:r>
      <w:r>
        <w:rPr>
          <w:rFonts w:ascii="Times New Roman" w:hAnsi="Times New Roman" w:cs="Times New Roman"/>
          <w:sz w:val="24"/>
          <w:szCs w:val="24"/>
        </w:rPr>
        <w:t xml:space="preserve"> that Reserve’s policies constituted insurance in the commonly accepted sense.  This comment by the Court cannot be explained given that the Court breezed over the evidence presented at trial with respect to each of the other factors previously discussed.</w:t>
      </w:r>
    </w:p>
    <w:p w14:paraId="71F3E18F" w14:textId="77777777" w:rsidR="000A2139" w:rsidRDefault="000A2139" w:rsidP="007C3D35">
      <w:pPr>
        <w:spacing w:after="0" w:line="240" w:lineRule="auto"/>
        <w:rPr>
          <w:rFonts w:ascii="Times New Roman" w:hAnsi="Times New Roman" w:cs="Times New Roman"/>
          <w:sz w:val="24"/>
          <w:szCs w:val="24"/>
        </w:rPr>
      </w:pPr>
    </w:p>
    <w:p w14:paraId="34211D5E" w14:textId="77777777" w:rsidR="000A2139" w:rsidRDefault="000A2139" w:rsidP="007C3D35">
      <w:pPr>
        <w:spacing w:after="0" w:line="240" w:lineRule="auto"/>
        <w:rPr>
          <w:rFonts w:ascii="Times New Roman" w:hAnsi="Times New Roman" w:cs="Times New Roman"/>
          <w:sz w:val="24"/>
          <w:szCs w:val="24"/>
        </w:rPr>
      </w:pPr>
      <w:r w:rsidRPr="009828F1">
        <w:rPr>
          <w:rFonts w:ascii="Times New Roman" w:hAnsi="Times New Roman" w:cs="Times New Roman"/>
          <w:sz w:val="24"/>
          <w:szCs w:val="24"/>
        </w:rPr>
        <w:t>The Court stated as follows in its discussion of</w:t>
      </w:r>
      <w:r>
        <w:rPr>
          <w:rFonts w:ascii="Times New Roman" w:hAnsi="Times New Roman" w:cs="Times New Roman"/>
          <w:sz w:val="24"/>
          <w:szCs w:val="24"/>
        </w:rPr>
        <w:t xml:space="preserve"> </w:t>
      </w:r>
      <w:r w:rsidRPr="009828F1">
        <w:rPr>
          <w:rFonts w:ascii="Times New Roman" w:hAnsi="Times New Roman" w:cs="Times New Roman"/>
          <w:sz w:val="24"/>
          <w:szCs w:val="24"/>
        </w:rPr>
        <w:t>Reserve</w:t>
      </w:r>
      <w:r>
        <w:rPr>
          <w:rFonts w:ascii="Times New Roman" w:hAnsi="Times New Roman" w:cs="Times New Roman"/>
          <w:sz w:val="24"/>
          <w:szCs w:val="24"/>
        </w:rPr>
        <w:t>’s payment of claims:</w:t>
      </w:r>
    </w:p>
    <w:p w14:paraId="757060B5" w14:textId="77777777" w:rsidR="000A2139" w:rsidRDefault="000A2139" w:rsidP="007C3D35">
      <w:pPr>
        <w:spacing w:after="0" w:line="240" w:lineRule="auto"/>
        <w:rPr>
          <w:rFonts w:ascii="Times New Roman" w:hAnsi="Times New Roman" w:cs="Times New Roman"/>
          <w:sz w:val="24"/>
          <w:szCs w:val="24"/>
        </w:rPr>
      </w:pPr>
    </w:p>
    <w:p w14:paraId="733AFD7B" w14:textId="77777777" w:rsidR="000A2139" w:rsidRDefault="000A2139" w:rsidP="00A6612D">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w:t>
      </w:r>
      <w:r w:rsidRPr="00A6612D">
        <w:rPr>
          <w:rFonts w:ascii="Times New Roman" w:hAnsi="Times New Roman" w:cs="Times New Roman"/>
          <w:b/>
          <w:i/>
          <w:sz w:val="24"/>
          <w:szCs w:val="24"/>
        </w:rPr>
        <w:t>Reserve paid the one claim that Peak filed during the tax years in issue. As we noted in connection with other factors, the circumstances surrounding the payment of that claim were unusual. Although this factor weighs slightly in Reserve</w:t>
      </w:r>
      <w:r>
        <w:rPr>
          <w:rFonts w:ascii="Times New Roman" w:hAnsi="Times New Roman" w:cs="Times New Roman"/>
          <w:b/>
          <w:i/>
          <w:sz w:val="24"/>
          <w:szCs w:val="24"/>
        </w:rPr>
        <w:t>’</w:t>
      </w:r>
      <w:r w:rsidRPr="00A6612D">
        <w:rPr>
          <w:rFonts w:ascii="Times New Roman" w:hAnsi="Times New Roman" w:cs="Times New Roman"/>
          <w:b/>
          <w:i/>
          <w:sz w:val="24"/>
          <w:szCs w:val="24"/>
        </w:rPr>
        <w:t>s favor, we do not regard the payments made in connection with the Stillwater loss as overwhelming evidence that Reserve</w:t>
      </w:r>
      <w:r>
        <w:rPr>
          <w:rFonts w:ascii="Times New Roman" w:hAnsi="Times New Roman" w:cs="Times New Roman"/>
          <w:b/>
          <w:i/>
          <w:sz w:val="24"/>
          <w:szCs w:val="24"/>
        </w:rPr>
        <w:t>’</w:t>
      </w:r>
      <w:r w:rsidRPr="00A6612D">
        <w:rPr>
          <w:rFonts w:ascii="Times New Roman" w:hAnsi="Times New Roman" w:cs="Times New Roman"/>
          <w:b/>
          <w:i/>
          <w:sz w:val="24"/>
          <w:szCs w:val="24"/>
        </w:rPr>
        <w:t>s direct written or reinsurance policies constituted insurance in the commonly accepted sense</w:t>
      </w:r>
      <w:r w:rsidRPr="00A6612D">
        <w:rPr>
          <w:rFonts w:ascii="Times New Roman" w:hAnsi="Times New Roman" w:cs="Times New Roman"/>
          <w:sz w:val="24"/>
          <w:szCs w:val="24"/>
        </w:rPr>
        <w:t>.</w:t>
      </w:r>
      <w:r>
        <w:rPr>
          <w:rFonts w:ascii="Times New Roman" w:hAnsi="Times New Roman" w:cs="Times New Roman"/>
          <w:sz w:val="24"/>
          <w:szCs w:val="24"/>
        </w:rPr>
        <w:t>”</w:t>
      </w:r>
    </w:p>
    <w:p w14:paraId="391B5018" w14:textId="77777777" w:rsidR="000A2139" w:rsidRDefault="000A2139" w:rsidP="007C3D35">
      <w:pPr>
        <w:spacing w:after="0" w:line="240" w:lineRule="auto"/>
        <w:rPr>
          <w:rFonts w:ascii="Times New Roman" w:hAnsi="Times New Roman" w:cs="Times New Roman"/>
          <w:sz w:val="24"/>
          <w:szCs w:val="24"/>
        </w:rPr>
      </w:pPr>
    </w:p>
    <w:p w14:paraId="67DC7EA9" w14:textId="54B84E4C" w:rsidR="000A2139" w:rsidRDefault="000A2139" w:rsidP="007C3D3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As discussed above in the </w:t>
      </w:r>
      <w:r w:rsidR="008B2ACB">
        <w:rPr>
          <w:rFonts w:ascii="Times New Roman" w:hAnsi="Times New Roman" w:cs="Times New Roman"/>
          <w:sz w:val="24"/>
          <w:szCs w:val="24"/>
        </w:rPr>
        <w:t xml:space="preserve">context of the </w:t>
      </w:r>
      <w:r>
        <w:rPr>
          <w:rFonts w:ascii="Times New Roman" w:hAnsi="Times New Roman" w:cs="Times New Roman"/>
          <w:sz w:val="24"/>
          <w:szCs w:val="24"/>
        </w:rPr>
        <w:t xml:space="preserve">first factor regarding the </w:t>
      </w:r>
      <w:r w:rsidRPr="0047314A">
        <w:rPr>
          <w:rFonts w:ascii="Times New Roman" w:hAnsi="Times New Roman" w:cs="Times New Roman"/>
          <w:sz w:val="24"/>
          <w:szCs w:val="24"/>
        </w:rPr>
        <w:t>organization, operation and regulation of Reserve</w:t>
      </w:r>
      <w:r>
        <w:rPr>
          <w:rFonts w:ascii="Times New Roman" w:hAnsi="Times New Roman" w:cs="Times New Roman"/>
          <w:sz w:val="24"/>
          <w:szCs w:val="24"/>
        </w:rPr>
        <w:t>, t</w:t>
      </w:r>
      <w:r w:rsidRPr="00F52537">
        <w:rPr>
          <w:rFonts w:ascii="Times New Roman" w:hAnsi="Times New Roman" w:cs="Times New Roman"/>
          <w:sz w:val="24"/>
          <w:szCs w:val="24"/>
        </w:rPr>
        <w:t>he Court disregarded the evidence before it with respect to what it considered to be perceived flaws in the claims process</w:t>
      </w:r>
      <w:r>
        <w:rPr>
          <w:rFonts w:ascii="Times New Roman" w:hAnsi="Times New Roman" w:cs="Times New Roman"/>
          <w:sz w:val="24"/>
          <w:szCs w:val="24"/>
        </w:rPr>
        <w:t>, and t</w:t>
      </w:r>
      <w:r w:rsidRPr="00F52537">
        <w:rPr>
          <w:rFonts w:ascii="Times New Roman" w:hAnsi="Times New Roman" w:cs="Times New Roman"/>
          <w:sz w:val="24"/>
          <w:szCs w:val="24"/>
        </w:rPr>
        <w:t>he Court was incorrect in its finding that the claims payments made by Reserve in 2009 were “handled in an irregular manner.”</w:t>
      </w:r>
      <w:r>
        <w:rPr>
          <w:rFonts w:ascii="Times New Roman" w:hAnsi="Times New Roman" w:cs="Times New Roman"/>
          <w:sz w:val="24"/>
          <w:szCs w:val="24"/>
        </w:rPr>
        <w:t xml:space="preserve">  </w:t>
      </w:r>
      <w:r w:rsidRPr="00F52537">
        <w:rPr>
          <w:rFonts w:ascii="Times New Roman" w:hAnsi="Times New Roman" w:cs="Times New Roman"/>
          <w:sz w:val="24"/>
          <w:szCs w:val="24"/>
        </w:rPr>
        <w:t xml:space="preserve">The fact that Reserve adjudicated and paid </w:t>
      </w:r>
      <w:r>
        <w:rPr>
          <w:rFonts w:ascii="Times New Roman" w:hAnsi="Times New Roman" w:cs="Times New Roman"/>
          <w:sz w:val="24"/>
          <w:szCs w:val="24"/>
        </w:rPr>
        <w:t xml:space="preserve">significant </w:t>
      </w:r>
      <w:r w:rsidRPr="00F52537">
        <w:rPr>
          <w:rFonts w:ascii="Times New Roman" w:hAnsi="Times New Roman" w:cs="Times New Roman"/>
          <w:sz w:val="24"/>
          <w:szCs w:val="24"/>
        </w:rPr>
        <w:t>claim</w:t>
      </w:r>
      <w:r>
        <w:rPr>
          <w:rFonts w:ascii="Times New Roman" w:hAnsi="Times New Roman" w:cs="Times New Roman"/>
          <w:sz w:val="24"/>
          <w:szCs w:val="24"/>
        </w:rPr>
        <w:t>s (including both a $339,820 “loss of major customer” claim</w:t>
      </w:r>
      <w:r w:rsidRPr="00F52537">
        <w:rPr>
          <w:rFonts w:ascii="Times New Roman" w:hAnsi="Times New Roman" w:cs="Times New Roman"/>
          <w:sz w:val="24"/>
          <w:szCs w:val="24"/>
        </w:rPr>
        <w:t xml:space="preserve"> filed by Peak</w:t>
      </w:r>
      <w:r>
        <w:rPr>
          <w:rFonts w:ascii="Times New Roman" w:hAnsi="Times New Roman" w:cs="Times New Roman"/>
          <w:sz w:val="24"/>
          <w:szCs w:val="24"/>
        </w:rPr>
        <w:t xml:space="preserve"> in 2009 and additional claims totaling $187,891.99 paid to third parties during the 3 years at issue)</w:t>
      </w:r>
      <w:r w:rsidRPr="00F52537">
        <w:rPr>
          <w:rFonts w:ascii="Times New Roman" w:hAnsi="Times New Roman" w:cs="Times New Roman"/>
          <w:sz w:val="24"/>
          <w:szCs w:val="24"/>
        </w:rPr>
        <w:t xml:space="preserve"> is strong evidence that insurance existed in the commonly accepted sen</w:t>
      </w:r>
      <w:r>
        <w:rPr>
          <w:rFonts w:ascii="Times New Roman" w:hAnsi="Times New Roman" w:cs="Times New Roman"/>
          <w:sz w:val="24"/>
          <w:szCs w:val="24"/>
        </w:rPr>
        <w:t>se.  The Court never explained what it considered “unusual” about the Stillwater loss paid.</w:t>
      </w:r>
    </w:p>
    <w:p w14:paraId="10F40059" w14:textId="77777777" w:rsidR="000A2139" w:rsidRDefault="000A2139" w:rsidP="007C3D35">
      <w:pPr>
        <w:spacing w:after="0" w:line="240" w:lineRule="auto"/>
        <w:rPr>
          <w:rFonts w:ascii="Times New Roman" w:hAnsi="Times New Roman" w:cs="Times New Roman"/>
          <w:sz w:val="24"/>
          <w:szCs w:val="24"/>
        </w:rPr>
      </w:pPr>
    </w:p>
    <w:p w14:paraId="7BBE1FD5" w14:textId="77777777" w:rsidR="000A2139" w:rsidRDefault="000A2139" w:rsidP="007C3D35">
      <w:pPr>
        <w:spacing w:after="0" w:line="240" w:lineRule="auto"/>
        <w:rPr>
          <w:rFonts w:ascii="Times New Roman" w:hAnsi="Times New Roman" w:cs="Times New Roman"/>
          <w:sz w:val="24"/>
          <w:szCs w:val="24"/>
        </w:rPr>
      </w:pPr>
      <w:r w:rsidRPr="007444D6">
        <w:rPr>
          <w:rFonts w:ascii="Times New Roman" w:hAnsi="Times New Roman" w:cs="Times New Roman"/>
          <w:sz w:val="24"/>
          <w:szCs w:val="24"/>
        </w:rPr>
        <w:t xml:space="preserve">In summary, the evidence at trial </w:t>
      </w:r>
      <w:r>
        <w:rPr>
          <w:rFonts w:ascii="Times New Roman" w:hAnsi="Times New Roman" w:cs="Times New Roman"/>
          <w:sz w:val="24"/>
          <w:szCs w:val="24"/>
        </w:rPr>
        <w:t xml:space="preserve">regarding the factors considered </w:t>
      </w:r>
      <w:r w:rsidRPr="007444D6">
        <w:rPr>
          <w:rFonts w:ascii="Times New Roman" w:hAnsi="Times New Roman" w:cs="Times New Roman"/>
          <w:sz w:val="24"/>
          <w:szCs w:val="24"/>
        </w:rPr>
        <w:t>did not support the Court’s conclusion</w:t>
      </w:r>
      <w:r>
        <w:rPr>
          <w:rFonts w:ascii="Times New Roman" w:hAnsi="Times New Roman" w:cs="Times New Roman"/>
          <w:sz w:val="24"/>
          <w:szCs w:val="24"/>
        </w:rPr>
        <w:t xml:space="preserve"> that </w:t>
      </w:r>
      <w:r w:rsidRPr="00BD784B">
        <w:rPr>
          <w:rFonts w:ascii="Times New Roman" w:hAnsi="Times New Roman" w:cs="Times New Roman"/>
          <w:sz w:val="24"/>
          <w:szCs w:val="24"/>
        </w:rPr>
        <w:t xml:space="preserve">Reserve’s transactions were </w:t>
      </w:r>
      <w:r>
        <w:rPr>
          <w:rFonts w:ascii="Times New Roman" w:hAnsi="Times New Roman" w:cs="Times New Roman"/>
          <w:sz w:val="24"/>
          <w:szCs w:val="24"/>
        </w:rPr>
        <w:t xml:space="preserve">not </w:t>
      </w:r>
      <w:r w:rsidRPr="00BD784B">
        <w:rPr>
          <w:rFonts w:ascii="Times New Roman" w:hAnsi="Times New Roman" w:cs="Times New Roman"/>
          <w:sz w:val="24"/>
          <w:szCs w:val="24"/>
        </w:rPr>
        <w:t>“insurance in the commonly accepted sense.”</w:t>
      </w:r>
    </w:p>
    <w:p w14:paraId="47D835D9" w14:textId="77777777" w:rsidR="000A2139" w:rsidRPr="00502B83" w:rsidRDefault="000A2139" w:rsidP="00CF351F">
      <w:pPr>
        <w:spacing w:after="0" w:line="240" w:lineRule="auto"/>
        <w:rPr>
          <w:rFonts w:ascii="Times New Roman" w:hAnsi="Times New Roman" w:cs="Times New Roman"/>
          <w:sz w:val="24"/>
          <w:szCs w:val="24"/>
        </w:rPr>
      </w:pPr>
    </w:p>
    <w:p w14:paraId="4C96AF41" w14:textId="0D1F2C60" w:rsidR="000A2139" w:rsidRPr="009A5700" w:rsidRDefault="000A2139" w:rsidP="00CF351F">
      <w:pPr>
        <w:spacing w:after="0" w:line="240" w:lineRule="auto"/>
        <w:rPr>
          <w:rFonts w:ascii="Times New Roman" w:hAnsi="Times New Roman" w:cs="Times New Roman"/>
          <w:sz w:val="24"/>
          <w:szCs w:val="24"/>
        </w:rPr>
      </w:pPr>
      <w:r w:rsidRPr="00477620">
        <w:rPr>
          <w:rFonts w:ascii="Times New Roman" w:hAnsi="Times New Roman" w:cs="Times New Roman"/>
          <w:sz w:val="24"/>
          <w:szCs w:val="24"/>
        </w:rPr>
        <w:t xml:space="preserve">In conclusion, the Court’s analysis in </w:t>
      </w:r>
      <w:r w:rsidRPr="00477620">
        <w:rPr>
          <w:rFonts w:ascii="Times New Roman" w:hAnsi="Times New Roman" w:cs="Times New Roman"/>
          <w:i/>
          <w:sz w:val="24"/>
          <w:szCs w:val="24"/>
        </w:rPr>
        <w:t>Reserve</w:t>
      </w:r>
      <w:r w:rsidRPr="00477620">
        <w:rPr>
          <w:rFonts w:ascii="Times New Roman" w:hAnsi="Times New Roman" w:cs="Times New Roman"/>
          <w:sz w:val="24"/>
          <w:szCs w:val="24"/>
        </w:rPr>
        <w:t xml:space="preserve"> and its attempt to strictly follow </w:t>
      </w:r>
      <w:r w:rsidRPr="00477620">
        <w:rPr>
          <w:rFonts w:ascii="Times New Roman" w:hAnsi="Times New Roman" w:cs="Times New Roman"/>
          <w:i/>
          <w:sz w:val="24"/>
          <w:szCs w:val="24"/>
        </w:rPr>
        <w:t>Avrahami</w:t>
      </w:r>
      <w:r w:rsidRPr="00477620">
        <w:rPr>
          <w:rFonts w:ascii="Times New Roman" w:hAnsi="Times New Roman" w:cs="Times New Roman"/>
          <w:sz w:val="24"/>
          <w:szCs w:val="24"/>
        </w:rPr>
        <w:t xml:space="preserve"> </w:t>
      </w:r>
      <w:r>
        <w:rPr>
          <w:rFonts w:ascii="Times New Roman" w:hAnsi="Times New Roman" w:cs="Times New Roman"/>
          <w:sz w:val="24"/>
          <w:szCs w:val="24"/>
        </w:rPr>
        <w:t xml:space="preserve">cannot be explained in light of the factual dissimilarities between </w:t>
      </w:r>
      <w:r w:rsidRPr="00477620">
        <w:rPr>
          <w:rFonts w:ascii="Times New Roman" w:hAnsi="Times New Roman" w:cs="Times New Roman"/>
          <w:sz w:val="24"/>
          <w:szCs w:val="24"/>
        </w:rPr>
        <w:t>the two cases.</w:t>
      </w:r>
      <w:r>
        <w:rPr>
          <w:rFonts w:ascii="Times New Roman" w:hAnsi="Times New Roman" w:cs="Times New Roman"/>
          <w:sz w:val="24"/>
          <w:szCs w:val="24"/>
        </w:rPr>
        <w:t xml:space="preserve">  In this regard, </w:t>
      </w:r>
      <w:r w:rsidRPr="005F39A1">
        <w:rPr>
          <w:rFonts w:ascii="Times New Roman" w:hAnsi="Times New Roman" w:cs="Times New Roman"/>
          <w:i/>
          <w:sz w:val="24"/>
          <w:szCs w:val="24"/>
        </w:rPr>
        <w:t>Reserve</w:t>
      </w:r>
      <w:r>
        <w:rPr>
          <w:rFonts w:ascii="Times New Roman" w:hAnsi="Times New Roman" w:cs="Times New Roman"/>
          <w:sz w:val="24"/>
          <w:szCs w:val="24"/>
        </w:rPr>
        <w:t xml:space="preserve"> is a dangerous precedent for the </w:t>
      </w:r>
      <w:r w:rsidRPr="00477620">
        <w:rPr>
          <w:rFonts w:ascii="Times New Roman" w:hAnsi="Times New Roman" w:cs="Times New Roman"/>
          <w:sz w:val="24"/>
          <w:szCs w:val="24"/>
        </w:rPr>
        <w:t>insurance industry</w:t>
      </w:r>
      <w:r>
        <w:rPr>
          <w:rFonts w:ascii="Times New Roman" w:hAnsi="Times New Roman" w:cs="Times New Roman"/>
          <w:sz w:val="24"/>
          <w:szCs w:val="24"/>
        </w:rPr>
        <w:t xml:space="preserve"> and may indicate that the Tax Court has made a policy decision distinct from Congress.  </w:t>
      </w:r>
      <w:r w:rsidRPr="00477620">
        <w:rPr>
          <w:rFonts w:ascii="Times New Roman" w:hAnsi="Times New Roman" w:cs="Times New Roman"/>
          <w:sz w:val="24"/>
          <w:szCs w:val="24"/>
        </w:rPr>
        <w:t xml:space="preserve">The Court’s </w:t>
      </w:r>
      <w:r>
        <w:rPr>
          <w:rFonts w:ascii="Times New Roman" w:hAnsi="Times New Roman" w:cs="Times New Roman"/>
          <w:sz w:val="24"/>
          <w:szCs w:val="24"/>
        </w:rPr>
        <w:t xml:space="preserve">lack of analysis and reference to the evidence before it combined with the Court’s molding of </w:t>
      </w:r>
      <w:r w:rsidRPr="00F819EC">
        <w:rPr>
          <w:rFonts w:ascii="Times New Roman" w:hAnsi="Times New Roman" w:cs="Times New Roman"/>
          <w:i/>
          <w:sz w:val="24"/>
          <w:szCs w:val="24"/>
        </w:rPr>
        <w:t>Reserve</w:t>
      </w:r>
      <w:r>
        <w:rPr>
          <w:rFonts w:ascii="Times New Roman" w:hAnsi="Times New Roman" w:cs="Times New Roman"/>
          <w:sz w:val="24"/>
          <w:szCs w:val="24"/>
        </w:rPr>
        <w:t xml:space="preserve">’s facts to fit within the template of the </w:t>
      </w:r>
      <w:r w:rsidRPr="00477620">
        <w:rPr>
          <w:rFonts w:ascii="Times New Roman" w:hAnsi="Times New Roman" w:cs="Times New Roman"/>
          <w:i/>
          <w:sz w:val="24"/>
          <w:szCs w:val="24"/>
        </w:rPr>
        <w:t>Avrahami</w:t>
      </w:r>
      <w:r w:rsidRPr="00477620">
        <w:rPr>
          <w:rFonts w:ascii="Times New Roman" w:hAnsi="Times New Roman" w:cs="Times New Roman"/>
          <w:sz w:val="24"/>
          <w:szCs w:val="24"/>
        </w:rPr>
        <w:t xml:space="preserve"> </w:t>
      </w:r>
      <w:r>
        <w:rPr>
          <w:rFonts w:ascii="Times New Roman" w:hAnsi="Times New Roman" w:cs="Times New Roman"/>
          <w:sz w:val="24"/>
          <w:szCs w:val="24"/>
        </w:rPr>
        <w:t xml:space="preserve">opinion </w:t>
      </w:r>
      <w:r w:rsidRPr="00477620">
        <w:rPr>
          <w:rFonts w:ascii="Times New Roman" w:hAnsi="Times New Roman" w:cs="Times New Roman"/>
          <w:sz w:val="24"/>
          <w:szCs w:val="24"/>
        </w:rPr>
        <w:t xml:space="preserve">has drawn significant criticism from industry professionals and </w:t>
      </w:r>
      <w:r>
        <w:rPr>
          <w:rFonts w:ascii="Times New Roman" w:hAnsi="Times New Roman" w:cs="Times New Roman"/>
          <w:sz w:val="24"/>
          <w:szCs w:val="24"/>
        </w:rPr>
        <w:t>calls for a further examination of the case actually presented.</w:t>
      </w:r>
      <w:r w:rsidRPr="00477620">
        <w:rPr>
          <w:rStyle w:val="EndnoteReference"/>
          <w:rFonts w:ascii="Times New Roman" w:hAnsi="Times New Roman" w:cs="Times New Roman"/>
          <w:sz w:val="24"/>
          <w:szCs w:val="24"/>
        </w:rPr>
        <w:endnoteReference w:id="154"/>
      </w:r>
    </w:p>
    <w:sectPr w:rsidR="000A2139" w:rsidRPr="009A5700" w:rsidSect="00434620">
      <w:footerReference w:type="default" r:id="rId15"/>
      <w:endnotePr>
        <w:numFmt w:val="decimal"/>
      </w:endnotePr>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1B3AA5" w14:textId="77777777" w:rsidR="00434620" w:rsidRDefault="00434620" w:rsidP="00B61CA0">
      <w:pPr>
        <w:spacing w:after="0" w:line="240" w:lineRule="auto"/>
      </w:pPr>
      <w:r>
        <w:separator/>
      </w:r>
    </w:p>
  </w:endnote>
  <w:endnote w:type="continuationSeparator" w:id="0">
    <w:p w14:paraId="68CA92DD" w14:textId="77777777" w:rsidR="00434620" w:rsidRDefault="00434620" w:rsidP="00B61CA0">
      <w:pPr>
        <w:spacing w:after="0" w:line="240" w:lineRule="auto"/>
      </w:pPr>
      <w:r>
        <w:continuationSeparator/>
      </w:r>
    </w:p>
  </w:endnote>
  <w:endnote w:id="1">
    <w:p w14:paraId="498A8ECF" w14:textId="77777777" w:rsidR="00434620" w:rsidRPr="00046EBF" w:rsidRDefault="00434620">
      <w:pPr>
        <w:pStyle w:val="EndnoteText"/>
        <w:rPr>
          <w:rFonts w:ascii="Times New Roman" w:hAnsi="Times New Roman" w:cs="Times New Roman"/>
          <w:sz w:val="22"/>
          <w:szCs w:val="22"/>
        </w:rPr>
      </w:pPr>
      <w:r w:rsidRPr="00046EBF">
        <w:rPr>
          <w:rStyle w:val="EndnoteReference"/>
          <w:rFonts w:ascii="Times New Roman" w:hAnsi="Times New Roman" w:cs="Times New Roman"/>
          <w:sz w:val="22"/>
          <w:szCs w:val="22"/>
        </w:rPr>
        <w:endnoteRef/>
      </w:r>
      <w:r w:rsidRPr="00046EBF">
        <w:rPr>
          <w:rFonts w:ascii="Times New Roman" w:hAnsi="Times New Roman" w:cs="Times New Roman"/>
          <w:sz w:val="22"/>
          <w:szCs w:val="22"/>
        </w:rPr>
        <w:t xml:space="preserve"> 149 T.C. No. 7 (August 21, 2017).</w:t>
      </w:r>
    </w:p>
    <w:p w14:paraId="63956800" w14:textId="77777777" w:rsidR="00434620" w:rsidRPr="00046EBF" w:rsidRDefault="00434620">
      <w:pPr>
        <w:pStyle w:val="EndnoteText"/>
        <w:rPr>
          <w:rFonts w:ascii="Times New Roman" w:hAnsi="Times New Roman" w:cs="Times New Roman"/>
          <w:sz w:val="22"/>
          <w:szCs w:val="22"/>
        </w:rPr>
      </w:pPr>
    </w:p>
  </w:endnote>
  <w:endnote w:id="2">
    <w:p w14:paraId="75C3A8CE" w14:textId="77777777" w:rsidR="00434620" w:rsidRDefault="00434620">
      <w:pPr>
        <w:pStyle w:val="EndnoteText"/>
        <w:rPr>
          <w:rFonts w:ascii="Times New Roman" w:hAnsi="Times New Roman" w:cs="Times New Roman"/>
          <w:sz w:val="22"/>
          <w:szCs w:val="22"/>
        </w:rPr>
      </w:pPr>
      <w:r>
        <w:rPr>
          <w:rStyle w:val="EndnoteReference"/>
        </w:rPr>
        <w:endnoteRef/>
      </w:r>
      <w:r>
        <w:t xml:space="preserve"> </w:t>
      </w:r>
      <w:r w:rsidRPr="00634738">
        <w:rPr>
          <w:rFonts w:ascii="Times New Roman" w:hAnsi="Times New Roman" w:cs="Times New Roman"/>
          <w:sz w:val="22"/>
          <w:szCs w:val="22"/>
        </w:rPr>
        <w:t>This issue concerned the inconsistenc</w:t>
      </w:r>
      <w:r>
        <w:rPr>
          <w:rFonts w:ascii="Times New Roman" w:hAnsi="Times New Roman" w:cs="Times New Roman"/>
          <w:sz w:val="22"/>
          <w:szCs w:val="22"/>
        </w:rPr>
        <w:t>y</w:t>
      </w:r>
      <w:r w:rsidRPr="00634738">
        <w:rPr>
          <w:rFonts w:ascii="Times New Roman" w:hAnsi="Times New Roman" w:cs="Times New Roman"/>
          <w:sz w:val="22"/>
          <w:szCs w:val="22"/>
        </w:rPr>
        <w:t xml:space="preserve"> of the Court in finding that Reserve was subject to a withholding tax under IRC 881(a) in the face of its findings that Reserve had no business purpose for conducting its operations.  </w:t>
      </w:r>
      <w:r>
        <w:rPr>
          <w:rFonts w:ascii="Times New Roman" w:hAnsi="Times New Roman" w:cs="Times New Roman"/>
          <w:sz w:val="22"/>
          <w:szCs w:val="22"/>
        </w:rPr>
        <w:t>C</w:t>
      </w:r>
      <w:r w:rsidRPr="00634738">
        <w:rPr>
          <w:rFonts w:ascii="Times New Roman" w:hAnsi="Times New Roman" w:cs="Times New Roman"/>
          <w:sz w:val="22"/>
          <w:szCs w:val="22"/>
        </w:rPr>
        <w:t xml:space="preserve">ourts had previously held </w:t>
      </w:r>
      <w:r>
        <w:rPr>
          <w:rFonts w:ascii="Times New Roman" w:hAnsi="Times New Roman" w:cs="Times New Roman"/>
          <w:sz w:val="22"/>
          <w:szCs w:val="22"/>
        </w:rPr>
        <w:t>(</w:t>
      </w:r>
      <w:r w:rsidRPr="00634738">
        <w:rPr>
          <w:rFonts w:ascii="Times New Roman" w:hAnsi="Times New Roman" w:cs="Times New Roman"/>
          <w:sz w:val="22"/>
          <w:szCs w:val="22"/>
        </w:rPr>
        <w:t xml:space="preserve">and the IRS has previously </w:t>
      </w:r>
      <w:r>
        <w:rPr>
          <w:rFonts w:ascii="Times New Roman" w:hAnsi="Times New Roman" w:cs="Times New Roman"/>
          <w:sz w:val="22"/>
          <w:szCs w:val="22"/>
        </w:rPr>
        <w:t xml:space="preserve">concluded in revenue rulings) </w:t>
      </w:r>
      <w:r w:rsidRPr="00634738">
        <w:rPr>
          <w:rFonts w:ascii="Times New Roman" w:hAnsi="Times New Roman" w:cs="Times New Roman"/>
          <w:sz w:val="22"/>
          <w:szCs w:val="22"/>
        </w:rPr>
        <w:t>that</w:t>
      </w:r>
      <w:r>
        <w:rPr>
          <w:rFonts w:ascii="Times New Roman" w:hAnsi="Times New Roman" w:cs="Times New Roman"/>
          <w:sz w:val="22"/>
          <w:szCs w:val="22"/>
        </w:rPr>
        <w:t>,</w:t>
      </w:r>
      <w:r w:rsidRPr="00634738">
        <w:rPr>
          <w:rFonts w:ascii="Times New Roman" w:hAnsi="Times New Roman" w:cs="Times New Roman"/>
          <w:sz w:val="22"/>
          <w:szCs w:val="22"/>
        </w:rPr>
        <w:t xml:space="preserve"> in the case of lack of </w:t>
      </w:r>
      <w:r>
        <w:rPr>
          <w:rFonts w:ascii="Times New Roman" w:hAnsi="Times New Roman" w:cs="Times New Roman"/>
          <w:sz w:val="22"/>
          <w:szCs w:val="22"/>
        </w:rPr>
        <w:t xml:space="preserve">a </w:t>
      </w:r>
      <w:r w:rsidRPr="00634738">
        <w:rPr>
          <w:rFonts w:ascii="Times New Roman" w:hAnsi="Times New Roman" w:cs="Times New Roman"/>
          <w:sz w:val="22"/>
          <w:szCs w:val="22"/>
        </w:rPr>
        <w:t>business purpose</w:t>
      </w:r>
      <w:r>
        <w:rPr>
          <w:rFonts w:ascii="Times New Roman" w:hAnsi="Times New Roman" w:cs="Times New Roman"/>
          <w:sz w:val="22"/>
          <w:szCs w:val="22"/>
        </w:rPr>
        <w:t>,</w:t>
      </w:r>
      <w:r w:rsidRPr="00634738">
        <w:rPr>
          <w:rFonts w:ascii="Times New Roman" w:hAnsi="Times New Roman" w:cs="Times New Roman"/>
          <w:sz w:val="22"/>
          <w:szCs w:val="22"/>
        </w:rPr>
        <w:t xml:space="preserve"> that a transaction </w:t>
      </w:r>
      <w:r>
        <w:rPr>
          <w:rFonts w:ascii="Times New Roman" w:hAnsi="Times New Roman" w:cs="Times New Roman"/>
          <w:sz w:val="22"/>
          <w:szCs w:val="22"/>
        </w:rPr>
        <w:t xml:space="preserve">between affiliated entities is treated </w:t>
      </w:r>
      <w:r w:rsidRPr="00634738">
        <w:rPr>
          <w:rFonts w:ascii="Times New Roman" w:hAnsi="Times New Roman" w:cs="Times New Roman"/>
          <w:sz w:val="22"/>
          <w:szCs w:val="22"/>
        </w:rPr>
        <w:t xml:space="preserve">as a </w:t>
      </w:r>
      <w:r>
        <w:rPr>
          <w:rFonts w:ascii="Times New Roman" w:hAnsi="Times New Roman" w:cs="Times New Roman"/>
          <w:sz w:val="22"/>
          <w:szCs w:val="22"/>
        </w:rPr>
        <w:t xml:space="preserve">nontaxable </w:t>
      </w:r>
      <w:r w:rsidRPr="00634738">
        <w:rPr>
          <w:rFonts w:ascii="Times New Roman" w:hAnsi="Times New Roman" w:cs="Times New Roman"/>
          <w:sz w:val="22"/>
          <w:szCs w:val="22"/>
        </w:rPr>
        <w:t xml:space="preserve">capital contribution.  </w:t>
      </w:r>
      <w:r w:rsidRPr="00AC23C0">
        <w:rPr>
          <w:rFonts w:ascii="Times New Roman" w:hAnsi="Times New Roman" w:cs="Times New Roman"/>
          <w:i/>
          <w:sz w:val="22"/>
          <w:szCs w:val="22"/>
        </w:rPr>
        <w:t>See</w:t>
      </w:r>
      <w:r w:rsidRPr="00634738">
        <w:rPr>
          <w:rFonts w:ascii="Times New Roman" w:hAnsi="Times New Roman" w:cs="Times New Roman"/>
          <w:sz w:val="22"/>
          <w:szCs w:val="22"/>
        </w:rPr>
        <w:t xml:space="preserve"> Reserve’s </w:t>
      </w:r>
      <w:r>
        <w:rPr>
          <w:rFonts w:ascii="Times New Roman" w:hAnsi="Times New Roman" w:cs="Times New Roman"/>
          <w:sz w:val="22"/>
          <w:szCs w:val="22"/>
        </w:rPr>
        <w:t xml:space="preserve">Motion for Reconsideration, which can be found </w:t>
      </w:r>
      <w:hyperlink r:id="rId1" w:history="1">
        <w:r w:rsidRPr="0036725A">
          <w:rPr>
            <w:rStyle w:val="Hyperlink"/>
            <w:rFonts w:ascii="Times New Roman" w:hAnsi="Times New Roman" w:cs="Times New Roman"/>
            <w:sz w:val="24"/>
            <w:szCs w:val="24"/>
          </w:rPr>
          <w:t>here</w:t>
        </w:r>
      </w:hyperlink>
      <w:r>
        <w:rPr>
          <w:rFonts w:ascii="Times New Roman" w:hAnsi="Times New Roman" w:cs="Times New Roman"/>
          <w:sz w:val="22"/>
          <w:szCs w:val="22"/>
        </w:rPr>
        <w:t>.</w:t>
      </w:r>
    </w:p>
    <w:p w14:paraId="6E2FDABF" w14:textId="77777777" w:rsidR="00434620" w:rsidRDefault="00434620">
      <w:pPr>
        <w:pStyle w:val="EndnoteText"/>
      </w:pPr>
    </w:p>
  </w:endnote>
  <w:endnote w:id="3">
    <w:p w14:paraId="3CE7D197" w14:textId="77777777" w:rsidR="00434620" w:rsidRPr="0053243B" w:rsidRDefault="00434620" w:rsidP="00C863A3">
      <w:pPr>
        <w:pStyle w:val="EndnoteText"/>
        <w:rPr>
          <w:rFonts w:ascii="Times New Roman" w:hAnsi="Times New Roman" w:cs="Times New Roman"/>
          <w:sz w:val="22"/>
          <w:szCs w:val="22"/>
        </w:rPr>
      </w:pPr>
      <w:r w:rsidRPr="004C307F">
        <w:rPr>
          <w:rStyle w:val="EndnoteReference"/>
          <w:rFonts w:ascii="Times New Roman" w:hAnsi="Times New Roman" w:cs="Times New Roman"/>
          <w:sz w:val="22"/>
          <w:szCs w:val="22"/>
        </w:rPr>
        <w:endnoteRef/>
      </w:r>
      <w:r w:rsidRPr="004C307F">
        <w:rPr>
          <w:rFonts w:ascii="Times New Roman" w:hAnsi="Times New Roman" w:cs="Times New Roman"/>
          <w:sz w:val="22"/>
          <w:szCs w:val="22"/>
        </w:rPr>
        <w:t xml:space="preserve"> The Internal Revenue Code of 1986, as amended, is referred to throughout the remainder of this commentary as either “IRC” or the “Code.”</w:t>
      </w:r>
    </w:p>
    <w:p w14:paraId="24605F9B" w14:textId="77777777" w:rsidR="00434620" w:rsidRPr="0053243B" w:rsidRDefault="00434620" w:rsidP="00C863A3">
      <w:pPr>
        <w:pStyle w:val="EndnoteText"/>
        <w:rPr>
          <w:rFonts w:ascii="Times New Roman" w:hAnsi="Times New Roman" w:cs="Times New Roman"/>
          <w:sz w:val="22"/>
          <w:szCs w:val="22"/>
        </w:rPr>
      </w:pPr>
    </w:p>
  </w:endnote>
  <w:endnote w:id="4">
    <w:p w14:paraId="4A2347C9" w14:textId="3C94E39E" w:rsidR="00434620" w:rsidRDefault="00434620">
      <w:pPr>
        <w:pStyle w:val="EndnoteText"/>
        <w:rPr>
          <w:rFonts w:ascii="Times New Roman" w:hAnsi="Times New Roman" w:cs="Times New Roman"/>
          <w:sz w:val="22"/>
          <w:szCs w:val="22"/>
        </w:rPr>
      </w:pPr>
      <w:r w:rsidRPr="001732B8">
        <w:rPr>
          <w:rStyle w:val="EndnoteReference"/>
          <w:rFonts w:ascii="Times New Roman" w:hAnsi="Times New Roman" w:cs="Times New Roman"/>
          <w:sz w:val="22"/>
          <w:szCs w:val="22"/>
        </w:rPr>
        <w:endnoteRef/>
      </w:r>
      <w:r w:rsidRPr="001732B8">
        <w:rPr>
          <w:rFonts w:ascii="Times New Roman" w:hAnsi="Times New Roman" w:cs="Times New Roman"/>
          <w:sz w:val="22"/>
          <w:szCs w:val="22"/>
        </w:rPr>
        <w:t xml:space="preserve"> </w:t>
      </w:r>
      <w:r>
        <w:rPr>
          <w:rFonts w:ascii="Times New Roman" w:hAnsi="Times New Roman" w:cs="Times New Roman"/>
          <w:sz w:val="22"/>
          <w:szCs w:val="22"/>
        </w:rPr>
        <w:t>The evidence presented at trial, which was ignored by the Court, included each of the following regarding the business purpose for the Reserve insurance arrangement:</w:t>
      </w:r>
    </w:p>
    <w:p w14:paraId="36ECFFBD" w14:textId="77777777" w:rsidR="00434620" w:rsidRPr="00F070F3" w:rsidRDefault="00434620">
      <w:pPr>
        <w:pStyle w:val="EndnoteText"/>
        <w:rPr>
          <w:rFonts w:ascii="Times New Roman" w:hAnsi="Times New Roman" w:cs="Times New Roman"/>
          <w:sz w:val="22"/>
          <w:szCs w:val="22"/>
        </w:rPr>
      </w:pPr>
    </w:p>
    <w:p w14:paraId="116C2079" w14:textId="466A23EE" w:rsidR="00434620" w:rsidRDefault="00434620">
      <w:pPr>
        <w:pStyle w:val="EndnoteText"/>
        <w:rPr>
          <w:rFonts w:ascii="Times New Roman" w:hAnsi="Times New Roman" w:cs="Times New Roman"/>
          <w:sz w:val="22"/>
          <w:szCs w:val="22"/>
        </w:rPr>
      </w:pPr>
      <w:r w:rsidRPr="00F23A52">
        <w:rPr>
          <w:rFonts w:ascii="Times New Roman" w:hAnsi="Times New Roman" w:cs="Times New Roman"/>
          <w:sz w:val="22"/>
          <w:szCs w:val="22"/>
        </w:rPr>
        <w:t xml:space="preserve">1) the </w:t>
      </w:r>
      <w:r w:rsidRPr="00CF056D">
        <w:rPr>
          <w:rFonts w:ascii="Times New Roman" w:hAnsi="Times New Roman" w:cs="Times New Roman"/>
          <w:b/>
          <w:sz w:val="22"/>
          <w:szCs w:val="22"/>
        </w:rPr>
        <w:t>feasibility study issued to Peak</w:t>
      </w:r>
      <w:r w:rsidRPr="00F23A52">
        <w:rPr>
          <w:rFonts w:ascii="Times New Roman" w:hAnsi="Times New Roman" w:cs="Times New Roman"/>
          <w:sz w:val="22"/>
          <w:szCs w:val="22"/>
        </w:rPr>
        <w:t xml:space="preserve"> prepared jointly by Capstone and Willis</w:t>
      </w:r>
      <w:r>
        <w:rPr>
          <w:rFonts w:ascii="Times New Roman" w:hAnsi="Times New Roman" w:cs="Times New Roman"/>
          <w:sz w:val="22"/>
          <w:szCs w:val="22"/>
        </w:rPr>
        <w:t xml:space="preserve">.  </w:t>
      </w:r>
      <w:r w:rsidRPr="00AC23C0">
        <w:rPr>
          <w:rFonts w:ascii="Times New Roman" w:hAnsi="Times New Roman" w:cs="Times New Roman"/>
          <w:i/>
          <w:sz w:val="22"/>
          <w:szCs w:val="22"/>
        </w:rPr>
        <w:t>See</w:t>
      </w:r>
      <w:r w:rsidRPr="00F23A52">
        <w:rPr>
          <w:rFonts w:ascii="Times New Roman" w:hAnsi="Times New Roman" w:cs="Times New Roman"/>
          <w:sz w:val="22"/>
          <w:szCs w:val="22"/>
        </w:rPr>
        <w:t xml:space="preserve"> Exhibit 16-J (Captive Insurance Feasibility Study for Peak Mechanical &amp; Components, Inc., Initial Site Visit: August 13, 2008), 19-21, Section IV.1 (Business Operations Information Summary), subsection on “Other Risk Management Issues,” identifying</w:t>
      </w:r>
      <w:r w:rsidRPr="0010113D">
        <w:rPr>
          <w:rFonts w:ascii="Times New Roman" w:hAnsi="Times New Roman" w:cs="Times New Roman"/>
          <w:sz w:val="22"/>
          <w:szCs w:val="22"/>
        </w:rPr>
        <w:t xml:space="preserve"> 13 different risks that Peak faced that “are not now adequately covered by conventional insurance” and describing why each risk identified was a significant risk to Peak’s business operations.  These risks identified in the feasibility study formed the heart of the risks that were later insured by Reserve pursuant to Peak’s insurance program.</w:t>
      </w:r>
    </w:p>
    <w:p w14:paraId="6B9E7994" w14:textId="77777777" w:rsidR="00434620" w:rsidRDefault="00434620">
      <w:pPr>
        <w:pStyle w:val="EndnoteText"/>
        <w:rPr>
          <w:rFonts w:ascii="Times New Roman" w:hAnsi="Times New Roman" w:cs="Times New Roman"/>
          <w:sz w:val="22"/>
          <w:szCs w:val="22"/>
          <w:highlight w:val="cyan"/>
        </w:rPr>
      </w:pPr>
    </w:p>
    <w:p w14:paraId="7DDD73CB" w14:textId="5ECB9599" w:rsidR="00434620" w:rsidRDefault="00434620">
      <w:pPr>
        <w:pStyle w:val="EndnoteText"/>
        <w:rPr>
          <w:rFonts w:ascii="Times New Roman" w:hAnsi="Times New Roman" w:cs="Times New Roman"/>
          <w:sz w:val="22"/>
          <w:szCs w:val="22"/>
        </w:rPr>
      </w:pPr>
      <w:r w:rsidRPr="006F0F41">
        <w:rPr>
          <w:rFonts w:ascii="Times New Roman" w:hAnsi="Times New Roman" w:cs="Times New Roman"/>
          <w:sz w:val="22"/>
          <w:szCs w:val="22"/>
        </w:rPr>
        <w:t xml:space="preserve">2) </w:t>
      </w:r>
      <w:r>
        <w:rPr>
          <w:rFonts w:ascii="Times New Roman" w:hAnsi="Times New Roman" w:cs="Times New Roman"/>
          <w:sz w:val="22"/>
          <w:szCs w:val="22"/>
        </w:rPr>
        <w:t xml:space="preserve">the </w:t>
      </w:r>
      <w:r w:rsidRPr="00921A06">
        <w:rPr>
          <w:rFonts w:ascii="Times New Roman" w:hAnsi="Times New Roman" w:cs="Times New Roman"/>
          <w:b/>
          <w:sz w:val="22"/>
          <w:szCs w:val="22"/>
        </w:rPr>
        <w:t>factual testimony of Norman Zumbaum</w:t>
      </w:r>
      <w:r>
        <w:rPr>
          <w:rFonts w:ascii="Times New Roman" w:hAnsi="Times New Roman" w:cs="Times New Roman"/>
          <w:sz w:val="22"/>
          <w:szCs w:val="22"/>
        </w:rPr>
        <w:t>, owner of Peak Mechanical, who testified</w:t>
      </w:r>
      <w:r w:rsidRPr="006F0F41">
        <w:rPr>
          <w:rFonts w:ascii="Times New Roman" w:hAnsi="Times New Roman" w:cs="Times New Roman"/>
          <w:sz w:val="22"/>
          <w:szCs w:val="22"/>
        </w:rPr>
        <w:t xml:space="preserve"> </w:t>
      </w:r>
      <w:r>
        <w:rPr>
          <w:rFonts w:ascii="Times New Roman" w:hAnsi="Times New Roman" w:cs="Times New Roman"/>
          <w:sz w:val="22"/>
          <w:szCs w:val="22"/>
        </w:rPr>
        <w:t xml:space="preserve">regarding Peak’s need for policies issued by Reserve and  Peak’s inability to obtain commercial coverage for coverages such as pollution liability.  Mr. Zumbaum testified </w:t>
      </w:r>
      <w:r w:rsidRPr="006F0F41">
        <w:rPr>
          <w:rFonts w:ascii="Times New Roman" w:hAnsi="Times New Roman" w:cs="Times New Roman"/>
          <w:sz w:val="22"/>
          <w:szCs w:val="22"/>
        </w:rPr>
        <w:t xml:space="preserve">that </w:t>
      </w:r>
      <w:r w:rsidRPr="00A56593">
        <w:rPr>
          <w:rFonts w:ascii="Times New Roman" w:hAnsi="Times New Roman" w:cs="Times New Roman"/>
          <w:sz w:val="22"/>
          <w:szCs w:val="22"/>
        </w:rPr>
        <w:t xml:space="preserve">“I think in the valley we probably couldn’t get pollution insurance” due to Peak being located in a “Superfund site.”  </w:t>
      </w:r>
      <w:r w:rsidRPr="00AC23C0">
        <w:rPr>
          <w:rFonts w:ascii="Times New Roman" w:hAnsi="Times New Roman" w:cs="Times New Roman"/>
          <w:i/>
          <w:sz w:val="22"/>
          <w:szCs w:val="22"/>
        </w:rPr>
        <w:t>See</w:t>
      </w:r>
      <w:r>
        <w:rPr>
          <w:rFonts w:ascii="Times New Roman" w:hAnsi="Times New Roman" w:cs="Times New Roman"/>
          <w:sz w:val="22"/>
          <w:szCs w:val="22"/>
        </w:rPr>
        <w:t xml:space="preserve"> Tr. at 123.  </w:t>
      </w:r>
      <w:r w:rsidRPr="00A56593">
        <w:rPr>
          <w:rFonts w:ascii="Times New Roman" w:hAnsi="Times New Roman" w:cs="Times New Roman"/>
          <w:sz w:val="22"/>
          <w:szCs w:val="22"/>
        </w:rPr>
        <w:t xml:space="preserve">Mr. Zumbaum </w:t>
      </w:r>
      <w:r>
        <w:rPr>
          <w:rFonts w:ascii="Times New Roman" w:hAnsi="Times New Roman" w:cs="Times New Roman"/>
          <w:sz w:val="22"/>
          <w:szCs w:val="22"/>
        </w:rPr>
        <w:t>also testified</w:t>
      </w:r>
      <w:r w:rsidRPr="00A56593">
        <w:rPr>
          <w:rFonts w:ascii="Times New Roman" w:hAnsi="Times New Roman" w:cs="Times New Roman"/>
          <w:sz w:val="22"/>
          <w:szCs w:val="22"/>
        </w:rPr>
        <w:t xml:space="preserve"> that, because of pollutants, being in a floodplain, “that’s kind of what spurred the Superfund site through the years of history is the mining companies dumping their tailings back in the day and floods and disbursed it through the valley.” </w:t>
      </w:r>
      <w:r w:rsidRPr="00654304">
        <w:rPr>
          <w:rFonts w:ascii="Times New Roman" w:hAnsi="Times New Roman" w:cs="Times New Roman"/>
          <w:i/>
          <w:sz w:val="22"/>
          <w:szCs w:val="22"/>
        </w:rPr>
        <w:t>See</w:t>
      </w:r>
      <w:r w:rsidRPr="00D17100">
        <w:rPr>
          <w:rFonts w:ascii="Times New Roman" w:hAnsi="Times New Roman" w:cs="Times New Roman"/>
          <w:sz w:val="22"/>
          <w:szCs w:val="22"/>
        </w:rPr>
        <w:t xml:space="preserve"> Tr. at 119-120</w:t>
      </w:r>
      <w:r>
        <w:rPr>
          <w:rFonts w:ascii="Times New Roman" w:hAnsi="Times New Roman" w:cs="Times New Roman"/>
          <w:sz w:val="22"/>
          <w:szCs w:val="22"/>
        </w:rPr>
        <w:t xml:space="preserve">.  </w:t>
      </w:r>
      <w:r w:rsidRPr="00A56593">
        <w:rPr>
          <w:rFonts w:ascii="Times New Roman" w:hAnsi="Times New Roman" w:cs="Times New Roman"/>
          <w:sz w:val="22"/>
          <w:szCs w:val="22"/>
        </w:rPr>
        <w:t>Mr. Zumbaum further testified that “it’s a very narrow valley” that is “probably two miles wide, three at the most … so it’s really</w:t>
      </w:r>
      <w:r>
        <w:rPr>
          <w:rFonts w:ascii="Times New Roman" w:hAnsi="Times New Roman" w:cs="Times New Roman"/>
          <w:sz w:val="22"/>
          <w:szCs w:val="22"/>
        </w:rPr>
        <w:t xml:space="preserve"> </w:t>
      </w:r>
      <w:r w:rsidRPr="00A56593">
        <w:rPr>
          <w:rFonts w:ascii="Times New Roman" w:hAnsi="Times New Roman" w:cs="Times New Roman"/>
          <w:sz w:val="22"/>
          <w:szCs w:val="22"/>
        </w:rPr>
        <w:t>concentrated in that valley. It’s not like it's a 50-mile wide valley or something.”</w:t>
      </w:r>
    </w:p>
    <w:p w14:paraId="43370904" w14:textId="77777777" w:rsidR="00434620" w:rsidRDefault="00434620">
      <w:pPr>
        <w:pStyle w:val="EndnoteText"/>
        <w:rPr>
          <w:rFonts w:ascii="Times New Roman" w:hAnsi="Times New Roman" w:cs="Times New Roman"/>
          <w:sz w:val="22"/>
          <w:szCs w:val="22"/>
          <w:highlight w:val="cyan"/>
        </w:rPr>
      </w:pPr>
    </w:p>
    <w:p w14:paraId="33FDC05A" w14:textId="30273B28" w:rsidR="00434620" w:rsidRPr="001732B8" w:rsidRDefault="00434620">
      <w:pPr>
        <w:pStyle w:val="EndnoteText"/>
        <w:rPr>
          <w:rFonts w:ascii="Times New Roman" w:hAnsi="Times New Roman" w:cs="Times New Roman"/>
          <w:sz w:val="22"/>
          <w:szCs w:val="22"/>
        </w:rPr>
      </w:pPr>
      <w:r w:rsidRPr="000C309D">
        <w:rPr>
          <w:rFonts w:ascii="Times New Roman" w:hAnsi="Times New Roman" w:cs="Times New Roman"/>
          <w:sz w:val="22"/>
          <w:szCs w:val="22"/>
        </w:rPr>
        <w:t xml:space="preserve">3) </w:t>
      </w:r>
      <w:r>
        <w:rPr>
          <w:rFonts w:ascii="Times New Roman" w:hAnsi="Times New Roman" w:cs="Times New Roman"/>
          <w:sz w:val="22"/>
          <w:szCs w:val="22"/>
        </w:rPr>
        <w:t xml:space="preserve">the </w:t>
      </w:r>
      <w:r w:rsidRPr="00921A06">
        <w:rPr>
          <w:rFonts w:ascii="Times New Roman" w:hAnsi="Times New Roman" w:cs="Times New Roman"/>
          <w:b/>
          <w:sz w:val="22"/>
          <w:szCs w:val="22"/>
        </w:rPr>
        <w:t>expert testimony of Robert Snyder</w:t>
      </w:r>
      <w:r w:rsidRPr="000C309D">
        <w:rPr>
          <w:rFonts w:ascii="Times New Roman" w:hAnsi="Times New Roman" w:cs="Times New Roman"/>
          <w:sz w:val="22"/>
          <w:szCs w:val="22"/>
        </w:rPr>
        <w:t xml:space="preserve">, who </w:t>
      </w:r>
      <w:r>
        <w:rPr>
          <w:rFonts w:ascii="Times New Roman" w:hAnsi="Times New Roman" w:cs="Times New Roman"/>
          <w:sz w:val="22"/>
          <w:szCs w:val="22"/>
        </w:rPr>
        <w:t>stated</w:t>
      </w:r>
      <w:r w:rsidRPr="000C309D">
        <w:rPr>
          <w:rFonts w:ascii="Times New Roman" w:hAnsi="Times New Roman" w:cs="Times New Roman"/>
          <w:sz w:val="22"/>
          <w:szCs w:val="22"/>
        </w:rPr>
        <w:t xml:space="preserve"> in his expert report as follows: “Reserve was a feasible and effective alternative risk management option for Peak and the Affiliated Businesses with respect to their insurance needs, because it served both to augment commercially obtained insurance that the entities carried and to cover fortuitous areas of risks inherent to their operations where there may have been gaps or inadequate commercial insurance market options. My opinion that Reserve was a feasible and effective alternative risk management option for Peak and the affiliated businesses is based in part on the Captive Insurance Company Feasibility Study - 2009, a copy of which is attached hereto</w:t>
      </w:r>
      <w:r>
        <w:rPr>
          <w:rFonts w:ascii="Times New Roman" w:hAnsi="Times New Roman" w:cs="Times New Roman"/>
          <w:sz w:val="22"/>
          <w:szCs w:val="22"/>
        </w:rPr>
        <w:t>…</w:t>
      </w:r>
      <w:r w:rsidRPr="000C309D">
        <w:rPr>
          <w:rFonts w:ascii="Times New Roman" w:hAnsi="Times New Roman" w:cs="Times New Roman"/>
          <w:sz w:val="22"/>
          <w:szCs w:val="22"/>
        </w:rPr>
        <w:t xml:space="preserve">”  </w:t>
      </w:r>
      <w:r w:rsidRPr="00654304">
        <w:rPr>
          <w:rFonts w:ascii="Times New Roman" w:hAnsi="Times New Roman" w:cs="Times New Roman"/>
          <w:i/>
          <w:sz w:val="22"/>
          <w:szCs w:val="22"/>
        </w:rPr>
        <w:t>See</w:t>
      </w:r>
      <w:r w:rsidRPr="000C309D">
        <w:rPr>
          <w:rFonts w:ascii="Times New Roman" w:hAnsi="Times New Roman" w:cs="Times New Roman"/>
          <w:sz w:val="22"/>
          <w:szCs w:val="22"/>
        </w:rPr>
        <w:t xml:space="preserve"> Exhibit 97-P (Expert Report of Bob Snyder, March 27, 2017), pages 1 and 2.</w:t>
      </w:r>
    </w:p>
    <w:p w14:paraId="47FD2DC0" w14:textId="77777777" w:rsidR="00434620" w:rsidRPr="001732B8" w:rsidRDefault="00434620">
      <w:pPr>
        <w:pStyle w:val="EndnoteText"/>
        <w:rPr>
          <w:rFonts w:ascii="Times New Roman" w:hAnsi="Times New Roman" w:cs="Times New Roman"/>
          <w:sz w:val="22"/>
          <w:szCs w:val="22"/>
        </w:rPr>
      </w:pPr>
    </w:p>
  </w:endnote>
  <w:endnote w:id="5">
    <w:p w14:paraId="2F615F1C" w14:textId="25AEEB59" w:rsidR="00434620" w:rsidRDefault="00434620">
      <w:pPr>
        <w:pStyle w:val="EndnoteText"/>
        <w:rPr>
          <w:rFonts w:ascii="Times New Roman" w:hAnsi="Times New Roman" w:cs="Times New Roman"/>
          <w:sz w:val="22"/>
          <w:szCs w:val="22"/>
        </w:rPr>
      </w:pPr>
      <w:r w:rsidRPr="00FC1839">
        <w:rPr>
          <w:rStyle w:val="EndnoteReference"/>
          <w:rFonts w:ascii="Times New Roman" w:hAnsi="Times New Roman" w:cs="Times New Roman"/>
          <w:sz w:val="22"/>
          <w:szCs w:val="22"/>
        </w:rPr>
        <w:endnoteRef/>
      </w:r>
      <w:r w:rsidRPr="00FC1839">
        <w:rPr>
          <w:rFonts w:ascii="Times New Roman" w:hAnsi="Times New Roman" w:cs="Times New Roman"/>
          <w:sz w:val="22"/>
          <w:szCs w:val="22"/>
        </w:rPr>
        <w:t xml:space="preserve"> </w:t>
      </w:r>
      <w:r w:rsidRPr="00AC23C0">
        <w:rPr>
          <w:rFonts w:ascii="Times New Roman" w:hAnsi="Times New Roman" w:cs="Times New Roman"/>
          <w:sz w:val="22"/>
          <w:szCs w:val="22"/>
        </w:rPr>
        <w:t xml:space="preserve">See </w:t>
      </w:r>
      <w:r w:rsidRPr="00FC1839">
        <w:rPr>
          <w:rFonts w:ascii="Times New Roman" w:hAnsi="Times New Roman" w:cs="Times New Roman"/>
          <w:sz w:val="22"/>
          <w:szCs w:val="22"/>
        </w:rPr>
        <w:t>Opinion at page</w:t>
      </w:r>
      <w:r>
        <w:rPr>
          <w:rFonts w:ascii="Times New Roman" w:hAnsi="Times New Roman" w:cs="Times New Roman"/>
          <w:sz w:val="22"/>
          <w:szCs w:val="22"/>
        </w:rPr>
        <w:t>s</w:t>
      </w:r>
      <w:r w:rsidRPr="00FC1839">
        <w:rPr>
          <w:rFonts w:ascii="Times New Roman" w:hAnsi="Times New Roman" w:cs="Times New Roman"/>
          <w:sz w:val="22"/>
          <w:szCs w:val="22"/>
        </w:rPr>
        <w:t xml:space="preserve"> </w:t>
      </w:r>
      <w:r>
        <w:rPr>
          <w:rFonts w:ascii="Times New Roman" w:hAnsi="Times New Roman" w:cs="Times New Roman"/>
          <w:sz w:val="22"/>
          <w:szCs w:val="22"/>
        </w:rPr>
        <w:t>45, 57, 60, 61, 62.  Each of the direct quotes below demonstrate the Court’s erroneous perception that Reserve’s insurance arrangement “lacked a legitimate business purpose”:</w:t>
      </w:r>
    </w:p>
    <w:p w14:paraId="5B9DF62A" w14:textId="55F991B5" w:rsidR="00434620" w:rsidRDefault="00434620">
      <w:pPr>
        <w:pStyle w:val="EndnoteText"/>
        <w:rPr>
          <w:rFonts w:ascii="Times New Roman" w:hAnsi="Times New Roman" w:cs="Times New Roman"/>
          <w:sz w:val="22"/>
          <w:szCs w:val="22"/>
        </w:rPr>
      </w:pPr>
    </w:p>
    <w:p w14:paraId="74B42773" w14:textId="0C440985" w:rsidR="00434620" w:rsidRDefault="00434620" w:rsidP="0097216C">
      <w:pPr>
        <w:pStyle w:val="EndnoteText"/>
        <w:rPr>
          <w:rFonts w:ascii="Times New Roman" w:hAnsi="Times New Roman" w:cs="Times New Roman"/>
          <w:sz w:val="22"/>
          <w:szCs w:val="22"/>
        </w:rPr>
      </w:pPr>
      <w:r>
        <w:rPr>
          <w:rFonts w:ascii="Times New Roman" w:hAnsi="Times New Roman" w:cs="Times New Roman"/>
          <w:sz w:val="22"/>
          <w:szCs w:val="22"/>
        </w:rPr>
        <w:t xml:space="preserve">p. </w:t>
      </w:r>
      <w:r w:rsidRPr="0097216C">
        <w:rPr>
          <w:rFonts w:ascii="Times New Roman" w:hAnsi="Times New Roman" w:cs="Times New Roman"/>
          <w:sz w:val="22"/>
          <w:szCs w:val="22"/>
        </w:rPr>
        <w:t xml:space="preserve">45 – “The only purpose PoolRe served through the quota share arrangement was to </w:t>
      </w:r>
      <w:r w:rsidRPr="00654E03">
        <w:rPr>
          <w:rFonts w:ascii="Times New Roman" w:hAnsi="Times New Roman" w:cs="Times New Roman"/>
          <w:b/>
          <w:sz w:val="22"/>
          <w:szCs w:val="22"/>
        </w:rPr>
        <w:t>shift income from Peak to Reserve. Reserve has not established that PoolRe was created or operated for legitimate nontax reasons</w:t>
      </w:r>
      <w:r w:rsidRPr="0097216C">
        <w:rPr>
          <w:rFonts w:ascii="Times New Roman" w:hAnsi="Times New Roman" w:cs="Times New Roman"/>
          <w:sz w:val="22"/>
          <w:szCs w:val="22"/>
        </w:rPr>
        <w:t>.”</w:t>
      </w:r>
      <w:r>
        <w:rPr>
          <w:rFonts w:ascii="Times New Roman" w:hAnsi="Times New Roman" w:cs="Times New Roman"/>
          <w:sz w:val="22"/>
          <w:szCs w:val="22"/>
        </w:rPr>
        <w:t xml:space="preserve"> (Emphasis added).</w:t>
      </w:r>
    </w:p>
    <w:p w14:paraId="3F8EB916" w14:textId="77777777" w:rsidR="00434620" w:rsidRDefault="00434620" w:rsidP="0097216C">
      <w:pPr>
        <w:pStyle w:val="EndnoteText"/>
        <w:rPr>
          <w:rFonts w:ascii="Times New Roman" w:hAnsi="Times New Roman" w:cs="Times New Roman"/>
          <w:sz w:val="22"/>
          <w:szCs w:val="22"/>
        </w:rPr>
      </w:pPr>
    </w:p>
    <w:p w14:paraId="3021B386" w14:textId="292DF2C8" w:rsidR="00434620" w:rsidRDefault="00434620" w:rsidP="00654E03">
      <w:pPr>
        <w:pStyle w:val="EndnoteText"/>
        <w:rPr>
          <w:rFonts w:ascii="Times New Roman" w:hAnsi="Times New Roman" w:cs="Times New Roman"/>
          <w:sz w:val="22"/>
          <w:szCs w:val="22"/>
        </w:rPr>
      </w:pPr>
      <w:r>
        <w:rPr>
          <w:rFonts w:ascii="Times New Roman" w:hAnsi="Times New Roman" w:cs="Times New Roman"/>
          <w:sz w:val="22"/>
          <w:szCs w:val="22"/>
        </w:rPr>
        <w:t>p.</w:t>
      </w:r>
      <w:r w:rsidRPr="0097216C">
        <w:rPr>
          <w:rFonts w:ascii="Times New Roman" w:hAnsi="Times New Roman" w:cs="Times New Roman"/>
          <w:sz w:val="22"/>
          <w:szCs w:val="22"/>
        </w:rPr>
        <w:t xml:space="preserve"> 57 – </w:t>
      </w:r>
      <w:r>
        <w:rPr>
          <w:rFonts w:ascii="Times New Roman" w:hAnsi="Times New Roman" w:cs="Times New Roman"/>
          <w:sz w:val="22"/>
          <w:szCs w:val="22"/>
        </w:rPr>
        <w:t xml:space="preserve">The Court erroneously found a lack of business purpose for Peak buying a pollution policy from Reserve, stating: </w:t>
      </w:r>
      <w:r w:rsidRPr="0097216C">
        <w:rPr>
          <w:rFonts w:ascii="Times New Roman" w:hAnsi="Times New Roman" w:cs="Times New Roman"/>
          <w:sz w:val="22"/>
          <w:szCs w:val="22"/>
        </w:rPr>
        <w:t xml:space="preserve">“Peak itself did not engage in mining practices that spread pollutants, and </w:t>
      </w:r>
      <w:r w:rsidRPr="00EF36A7">
        <w:rPr>
          <w:rFonts w:ascii="Times New Roman" w:hAnsi="Times New Roman" w:cs="Times New Roman"/>
          <w:b/>
          <w:sz w:val="22"/>
          <w:szCs w:val="22"/>
        </w:rPr>
        <w:t>it already had systems in place to control the fluid runoff when it cleaned equipment used in polluted mines</w:t>
      </w:r>
      <w:r w:rsidRPr="0097216C">
        <w:rPr>
          <w:rFonts w:ascii="Times New Roman" w:hAnsi="Times New Roman" w:cs="Times New Roman"/>
          <w:sz w:val="22"/>
          <w:szCs w:val="22"/>
        </w:rPr>
        <w:t>.”</w:t>
      </w:r>
      <w:r>
        <w:rPr>
          <w:rFonts w:ascii="Times New Roman" w:hAnsi="Times New Roman" w:cs="Times New Roman"/>
          <w:sz w:val="22"/>
          <w:szCs w:val="22"/>
        </w:rPr>
        <w:t xml:space="preserve"> (Emphasis added).</w:t>
      </w:r>
    </w:p>
    <w:p w14:paraId="21E49249" w14:textId="77777777" w:rsidR="00434620" w:rsidRPr="0097216C" w:rsidRDefault="00434620" w:rsidP="00654E03">
      <w:pPr>
        <w:pStyle w:val="EndnoteText"/>
        <w:rPr>
          <w:rFonts w:ascii="Times New Roman" w:hAnsi="Times New Roman" w:cs="Times New Roman"/>
          <w:sz w:val="22"/>
          <w:szCs w:val="22"/>
        </w:rPr>
      </w:pPr>
    </w:p>
    <w:p w14:paraId="1601D73B" w14:textId="145EE243" w:rsidR="00434620" w:rsidRDefault="00434620" w:rsidP="0097216C">
      <w:pPr>
        <w:pStyle w:val="EndnoteText"/>
        <w:rPr>
          <w:rFonts w:ascii="Times New Roman" w:hAnsi="Times New Roman" w:cs="Times New Roman"/>
          <w:sz w:val="22"/>
          <w:szCs w:val="22"/>
        </w:rPr>
      </w:pPr>
      <w:r w:rsidRPr="000D2E1A">
        <w:rPr>
          <w:rFonts w:ascii="Times New Roman" w:hAnsi="Times New Roman" w:cs="Times New Roman"/>
          <w:sz w:val="22"/>
          <w:szCs w:val="22"/>
        </w:rPr>
        <w:t>p</w:t>
      </w:r>
      <w:r>
        <w:rPr>
          <w:rFonts w:ascii="Times New Roman" w:hAnsi="Times New Roman" w:cs="Times New Roman"/>
          <w:sz w:val="22"/>
          <w:szCs w:val="22"/>
        </w:rPr>
        <w:t>.</w:t>
      </w:r>
      <w:r w:rsidRPr="000D2E1A">
        <w:rPr>
          <w:rFonts w:ascii="Times New Roman" w:hAnsi="Times New Roman" w:cs="Times New Roman"/>
          <w:sz w:val="22"/>
          <w:szCs w:val="22"/>
        </w:rPr>
        <w:t xml:space="preserve"> 60 – </w:t>
      </w:r>
      <w:r>
        <w:rPr>
          <w:rFonts w:ascii="Times New Roman" w:hAnsi="Times New Roman" w:cs="Times New Roman"/>
          <w:sz w:val="22"/>
          <w:szCs w:val="22"/>
        </w:rPr>
        <w:t xml:space="preserve">The Court disregarded the testimony and evidence establishing Peak’s need for each of Reserve’s direct written policies, stating: </w:t>
      </w:r>
      <w:r w:rsidRPr="000D2E1A">
        <w:rPr>
          <w:rFonts w:ascii="Times New Roman" w:hAnsi="Times New Roman" w:cs="Times New Roman"/>
          <w:sz w:val="22"/>
          <w:szCs w:val="22"/>
        </w:rPr>
        <w:t xml:space="preserve">“The facts do not reflect that Peak had a </w:t>
      </w:r>
      <w:r w:rsidRPr="009F6183">
        <w:rPr>
          <w:rFonts w:ascii="Times New Roman" w:hAnsi="Times New Roman" w:cs="Times New Roman"/>
          <w:b/>
          <w:sz w:val="22"/>
          <w:szCs w:val="22"/>
        </w:rPr>
        <w:t>genuine need for acquiring additional insurance</w:t>
      </w:r>
      <w:r w:rsidRPr="000D2E1A">
        <w:rPr>
          <w:rFonts w:ascii="Times New Roman" w:hAnsi="Times New Roman" w:cs="Times New Roman"/>
          <w:sz w:val="22"/>
          <w:szCs w:val="22"/>
        </w:rPr>
        <w:t xml:space="preserve"> during the tax years in issue. There was no significant history of losses that would justify such a drastic increase, and Zumbaum</w:t>
      </w:r>
      <w:r>
        <w:rPr>
          <w:rFonts w:ascii="Times New Roman" w:hAnsi="Times New Roman" w:cs="Times New Roman"/>
          <w:sz w:val="22"/>
          <w:szCs w:val="22"/>
        </w:rPr>
        <w:t>’</w:t>
      </w:r>
      <w:r w:rsidRPr="000D2E1A">
        <w:rPr>
          <w:rFonts w:ascii="Times New Roman" w:hAnsi="Times New Roman" w:cs="Times New Roman"/>
          <w:sz w:val="22"/>
          <w:szCs w:val="22"/>
        </w:rPr>
        <w:t>s testimony that he was concerned about increased risks beginning in 2008 did not support a significant increase in insurance coverage.”</w:t>
      </w:r>
      <w:r w:rsidRPr="000433B9">
        <w:rPr>
          <w:rFonts w:ascii="Times New Roman" w:hAnsi="Times New Roman" w:cs="Times New Roman"/>
          <w:sz w:val="22"/>
          <w:szCs w:val="22"/>
        </w:rPr>
        <w:t xml:space="preserve"> </w:t>
      </w:r>
      <w:r>
        <w:rPr>
          <w:rFonts w:ascii="Times New Roman" w:hAnsi="Times New Roman" w:cs="Times New Roman"/>
          <w:sz w:val="22"/>
          <w:szCs w:val="22"/>
        </w:rPr>
        <w:t>(Emphasis added).</w:t>
      </w:r>
    </w:p>
    <w:p w14:paraId="431B94B1" w14:textId="77777777" w:rsidR="00434620" w:rsidRPr="0097216C" w:rsidRDefault="00434620" w:rsidP="0097216C">
      <w:pPr>
        <w:pStyle w:val="EndnoteText"/>
        <w:rPr>
          <w:rFonts w:ascii="Times New Roman" w:hAnsi="Times New Roman" w:cs="Times New Roman"/>
          <w:sz w:val="22"/>
          <w:szCs w:val="22"/>
        </w:rPr>
      </w:pPr>
    </w:p>
    <w:p w14:paraId="3E5A5EBD" w14:textId="171AE48E" w:rsidR="00434620" w:rsidRDefault="00434620" w:rsidP="0097216C">
      <w:pPr>
        <w:pStyle w:val="EndnoteText"/>
        <w:rPr>
          <w:rFonts w:ascii="Times New Roman" w:hAnsi="Times New Roman" w:cs="Times New Roman"/>
          <w:sz w:val="22"/>
          <w:szCs w:val="22"/>
        </w:rPr>
      </w:pPr>
      <w:r w:rsidRPr="0097216C">
        <w:rPr>
          <w:rFonts w:ascii="Times New Roman" w:hAnsi="Times New Roman" w:cs="Times New Roman"/>
          <w:sz w:val="22"/>
          <w:szCs w:val="22"/>
        </w:rPr>
        <w:t>p</w:t>
      </w:r>
      <w:r>
        <w:rPr>
          <w:rFonts w:ascii="Times New Roman" w:hAnsi="Times New Roman" w:cs="Times New Roman"/>
          <w:sz w:val="22"/>
          <w:szCs w:val="22"/>
        </w:rPr>
        <w:t>.</w:t>
      </w:r>
      <w:r w:rsidRPr="0097216C">
        <w:rPr>
          <w:rFonts w:ascii="Times New Roman" w:hAnsi="Times New Roman" w:cs="Times New Roman"/>
          <w:sz w:val="22"/>
          <w:szCs w:val="22"/>
        </w:rPr>
        <w:t xml:space="preserve"> 61 – </w:t>
      </w:r>
      <w:r>
        <w:rPr>
          <w:rFonts w:ascii="Times New Roman" w:hAnsi="Times New Roman" w:cs="Times New Roman"/>
          <w:sz w:val="22"/>
          <w:szCs w:val="22"/>
        </w:rPr>
        <w:t>“</w:t>
      </w:r>
      <w:r w:rsidRPr="00971984">
        <w:rPr>
          <w:rFonts w:ascii="Times New Roman" w:hAnsi="Times New Roman" w:cs="Times New Roman"/>
          <w:sz w:val="22"/>
          <w:szCs w:val="22"/>
        </w:rPr>
        <w:t xml:space="preserve">Taking into consideration all the surrounding facts and circumstances, we conclude that </w:t>
      </w:r>
      <w:r w:rsidRPr="00971984">
        <w:rPr>
          <w:rFonts w:ascii="Times New Roman" w:hAnsi="Times New Roman" w:cs="Times New Roman"/>
          <w:b/>
          <w:sz w:val="22"/>
          <w:szCs w:val="22"/>
        </w:rPr>
        <w:t>no unrelated party would reasonably agree to pay Reserve the premiums that Peak and the other insureds did for the coverage provided by the direct written policies</w:t>
      </w:r>
      <w:r w:rsidRPr="00971984">
        <w:rPr>
          <w:rFonts w:ascii="Times New Roman" w:hAnsi="Times New Roman" w:cs="Times New Roman"/>
          <w:sz w:val="22"/>
          <w:szCs w:val="22"/>
        </w:rPr>
        <w:t>.</w:t>
      </w:r>
      <w:r>
        <w:rPr>
          <w:rFonts w:ascii="Times New Roman" w:hAnsi="Times New Roman" w:cs="Times New Roman"/>
          <w:sz w:val="22"/>
          <w:szCs w:val="22"/>
        </w:rPr>
        <w:t xml:space="preserve">  </w:t>
      </w:r>
      <w:r w:rsidRPr="0097216C">
        <w:rPr>
          <w:rFonts w:ascii="Times New Roman" w:hAnsi="Times New Roman" w:cs="Times New Roman"/>
          <w:sz w:val="22"/>
          <w:szCs w:val="22"/>
        </w:rPr>
        <w:t>Although Capstone calculated Reserve</w:t>
      </w:r>
      <w:r>
        <w:rPr>
          <w:rFonts w:ascii="Times New Roman" w:hAnsi="Times New Roman" w:cs="Times New Roman"/>
          <w:sz w:val="22"/>
          <w:szCs w:val="22"/>
        </w:rPr>
        <w:t>’</w:t>
      </w:r>
      <w:r w:rsidRPr="0097216C">
        <w:rPr>
          <w:rFonts w:ascii="Times New Roman" w:hAnsi="Times New Roman" w:cs="Times New Roman"/>
          <w:sz w:val="22"/>
          <w:szCs w:val="22"/>
        </w:rPr>
        <w:t xml:space="preserve">s premiums using objective criteria and what appear to be actuarial methods, </w:t>
      </w:r>
      <w:r w:rsidRPr="0004290B">
        <w:rPr>
          <w:rFonts w:ascii="Times New Roman" w:hAnsi="Times New Roman" w:cs="Times New Roman"/>
          <w:b/>
          <w:sz w:val="22"/>
          <w:szCs w:val="22"/>
        </w:rPr>
        <w:t>the absence of a real business purpose for Reserve’s policies</w:t>
      </w:r>
      <w:r w:rsidRPr="0097216C">
        <w:rPr>
          <w:rFonts w:ascii="Times New Roman" w:hAnsi="Times New Roman" w:cs="Times New Roman"/>
          <w:sz w:val="22"/>
          <w:szCs w:val="22"/>
        </w:rPr>
        <w:t xml:space="preserve"> leads us to conclude that the premiums paid for the polices were not reasonable and not negotiated at arm’s length.</w:t>
      </w:r>
      <w:r>
        <w:rPr>
          <w:rFonts w:ascii="Times New Roman" w:hAnsi="Times New Roman" w:cs="Times New Roman"/>
          <w:sz w:val="22"/>
          <w:szCs w:val="22"/>
        </w:rPr>
        <w:t>”  (Emphasis added).</w:t>
      </w:r>
    </w:p>
    <w:p w14:paraId="4920EF89" w14:textId="77777777" w:rsidR="00434620" w:rsidRPr="0097216C" w:rsidRDefault="00434620" w:rsidP="0097216C">
      <w:pPr>
        <w:pStyle w:val="EndnoteText"/>
        <w:rPr>
          <w:rFonts w:ascii="Times New Roman" w:hAnsi="Times New Roman" w:cs="Times New Roman"/>
          <w:sz w:val="22"/>
          <w:szCs w:val="22"/>
        </w:rPr>
      </w:pPr>
    </w:p>
    <w:p w14:paraId="2BF14B28" w14:textId="7DBEE89C" w:rsidR="00434620" w:rsidRPr="0097216C" w:rsidRDefault="00434620" w:rsidP="0097216C">
      <w:pPr>
        <w:pStyle w:val="EndnoteText"/>
        <w:rPr>
          <w:rFonts w:ascii="Times New Roman" w:hAnsi="Times New Roman" w:cs="Times New Roman"/>
          <w:sz w:val="22"/>
          <w:szCs w:val="22"/>
        </w:rPr>
      </w:pPr>
      <w:r>
        <w:rPr>
          <w:rFonts w:ascii="Times New Roman" w:hAnsi="Times New Roman" w:cs="Times New Roman"/>
          <w:sz w:val="22"/>
          <w:szCs w:val="22"/>
        </w:rPr>
        <w:t>p.</w:t>
      </w:r>
      <w:r w:rsidRPr="0097216C">
        <w:rPr>
          <w:rFonts w:ascii="Times New Roman" w:hAnsi="Times New Roman" w:cs="Times New Roman"/>
          <w:sz w:val="22"/>
          <w:szCs w:val="22"/>
        </w:rPr>
        <w:t xml:space="preserve"> 62 – “However, [Reserve] was not operated as a bona fide insurance company, and </w:t>
      </w:r>
      <w:r w:rsidRPr="00DD6680">
        <w:rPr>
          <w:rFonts w:ascii="Times New Roman" w:hAnsi="Times New Roman" w:cs="Times New Roman"/>
          <w:b/>
          <w:sz w:val="22"/>
          <w:szCs w:val="22"/>
        </w:rPr>
        <w:t>there was no legitimate business purpose for the policies that Reserve issued for the insureds</w:t>
      </w:r>
      <w:r w:rsidRPr="0097216C">
        <w:rPr>
          <w:rFonts w:ascii="Times New Roman" w:hAnsi="Times New Roman" w:cs="Times New Roman"/>
          <w:sz w:val="22"/>
          <w:szCs w:val="22"/>
        </w:rPr>
        <w:t>.</w:t>
      </w:r>
      <w:r>
        <w:rPr>
          <w:rFonts w:ascii="Times New Roman" w:hAnsi="Times New Roman" w:cs="Times New Roman"/>
          <w:sz w:val="22"/>
          <w:szCs w:val="22"/>
        </w:rPr>
        <w:t>”  (Emphasis added).</w:t>
      </w:r>
    </w:p>
    <w:p w14:paraId="24C24732" w14:textId="77777777" w:rsidR="00434620" w:rsidRPr="00FC1839" w:rsidRDefault="00434620" w:rsidP="0097216C">
      <w:pPr>
        <w:pStyle w:val="EndnoteText"/>
        <w:rPr>
          <w:rFonts w:ascii="Times New Roman" w:hAnsi="Times New Roman" w:cs="Times New Roman"/>
          <w:sz w:val="22"/>
          <w:szCs w:val="22"/>
        </w:rPr>
      </w:pPr>
    </w:p>
  </w:endnote>
  <w:endnote w:id="6">
    <w:p w14:paraId="0AF92E20" w14:textId="5B93928A" w:rsidR="00434620" w:rsidRPr="0018765D" w:rsidRDefault="00434620" w:rsidP="00415925">
      <w:pPr>
        <w:pStyle w:val="EndnoteText"/>
        <w:rPr>
          <w:rFonts w:ascii="Times New Roman" w:hAnsi="Times New Roman" w:cs="Times New Roman"/>
          <w:sz w:val="22"/>
          <w:szCs w:val="22"/>
        </w:rPr>
      </w:pPr>
      <w:r w:rsidRPr="0018765D">
        <w:rPr>
          <w:rStyle w:val="EndnoteReference"/>
          <w:rFonts w:ascii="Times New Roman" w:hAnsi="Times New Roman" w:cs="Times New Roman"/>
          <w:sz w:val="22"/>
          <w:szCs w:val="22"/>
        </w:rPr>
        <w:endnoteRef/>
      </w:r>
      <w:r w:rsidRPr="0018765D">
        <w:rPr>
          <w:rFonts w:ascii="Times New Roman" w:hAnsi="Times New Roman" w:cs="Times New Roman"/>
          <w:sz w:val="22"/>
          <w:szCs w:val="22"/>
        </w:rPr>
        <w:t xml:space="preserve"> </w:t>
      </w:r>
      <w:r w:rsidRPr="00654304">
        <w:rPr>
          <w:rFonts w:ascii="Times New Roman" w:hAnsi="Times New Roman" w:cs="Times New Roman"/>
          <w:i/>
          <w:sz w:val="22"/>
          <w:szCs w:val="22"/>
        </w:rPr>
        <w:t>See</w:t>
      </w:r>
      <w:r w:rsidRPr="00AC23C0">
        <w:rPr>
          <w:rFonts w:ascii="Times New Roman" w:hAnsi="Times New Roman" w:cs="Times New Roman"/>
          <w:sz w:val="22"/>
          <w:szCs w:val="22"/>
        </w:rPr>
        <w:t xml:space="preserve"> </w:t>
      </w:r>
      <w:r w:rsidRPr="00C44150">
        <w:rPr>
          <w:rFonts w:ascii="Times New Roman" w:hAnsi="Times New Roman" w:cs="Times New Roman"/>
          <w:sz w:val="22"/>
          <w:szCs w:val="22"/>
        </w:rPr>
        <w:t>Robert H. Jerry, II</w:t>
      </w:r>
      <w:r w:rsidRPr="00954009">
        <w:rPr>
          <w:rFonts w:ascii="Times New Roman" w:hAnsi="Times New Roman" w:cs="Times New Roman"/>
          <w:sz w:val="22"/>
          <w:szCs w:val="22"/>
        </w:rPr>
        <w:t xml:space="preserve">, </w:t>
      </w:r>
      <w:r>
        <w:rPr>
          <w:rFonts w:ascii="Times New Roman" w:hAnsi="Times New Roman" w:cs="Times New Roman"/>
          <w:sz w:val="22"/>
          <w:szCs w:val="22"/>
        </w:rPr>
        <w:t xml:space="preserve"> </w:t>
      </w:r>
      <w:r w:rsidRPr="00424796">
        <w:rPr>
          <w:rFonts w:ascii="Times New Roman" w:hAnsi="Times New Roman" w:cs="Times New Roman"/>
          <w:sz w:val="22"/>
          <w:szCs w:val="22"/>
          <w:u w:val="single"/>
        </w:rPr>
        <w:t>New Appleman on Insurance Law Library Edition</w:t>
      </w:r>
      <w:r>
        <w:rPr>
          <w:rFonts w:ascii="Times New Roman" w:hAnsi="Times New Roman" w:cs="Times New Roman"/>
          <w:sz w:val="22"/>
          <w:szCs w:val="22"/>
        </w:rPr>
        <w:t xml:space="preserve">, </w:t>
      </w:r>
      <w:r w:rsidRPr="004A1C7C">
        <w:rPr>
          <w:rFonts w:ascii="Times New Roman" w:hAnsi="Times New Roman" w:cs="Times New Roman"/>
          <w:sz w:val="22"/>
          <w:szCs w:val="22"/>
        </w:rPr>
        <w:t>Volume 1</w:t>
      </w:r>
      <w:r>
        <w:rPr>
          <w:rFonts w:ascii="Times New Roman" w:hAnsi="Times New Roman" w:cs="Times New Roman"/>
          <w:sz w:val="22"/>
          <w:szCs w:val="22"/>
        </w:rPr>
        <w:t xml:space="preserve"> – </w:t>
      </w:r>
      <w:r w:rsidRPr="004A1C7C">
        <w:rPr>
          <w:rFonts w:ascii="Times New Roman" w:hAnsi="Times New Roman" w:cs="Times New Roman"/>
          <w:sz w:val="22"/>
          <w:szCs w:val="22"/>
        </w:rPr>
        <w:t>Essentials of Insurance</w:t>
      </w:r>
      <w:r>
        <w:rPr>
          <w:rFonts w:ascii="Times New Roman" w:hAnsi="Times New Roman" w:cs="Times New Roman"/>
          <w:sz w:val="22"/>
          <w:szCs w:val="22"/>
        </w:rPr>
        <w:t xml:space="preserve">, </w:t>
      </w:r>
      <w:r w:rsidRPr="002D5862">
        <w:rPr>
          <w:rFonts w:ascii="Times New Roman" w:hAnsi="Times New Roman" w:cs="Times New Roman"/>
          <w:sz w:val="22"/>
          <w:szCs w:val="22"/>
        </w:rPr>
        <w:t>§1.09</w:t>
      </w:r>
      <w:r>
        <w:rPr>
          <w:rFonts w:ascii="Times New Roman" w:hAnsi="Times New Roman" w:cs="Times New Roman"/>
          <w:sz w:val="22"/>
          <w:szCs w:val="22"/>
        </w:rPr>
        <w:t xml:space="preserve">[1] (Overview).  In this treatise, originally authored by </w:t>
      </w:r>
      <w:r w:rsidRPr="005C0A2E">
        <w:rPr>
          <w:rFonts w:ascii="Times New Roman" w:hAnsi="Times New Roman" w:cs="Times New Roman"/>
          <w:sz w:val="22"/>
          <w:szCs w:val="22"/>
        </w:rPr>
        <w:t>John Appleman</w:t>
      </w:r>
      <w:r>
        <w:rPr>
          <w:rFonts w:ascii="Times New Roman" w:hAnsi="Times New Roman" w:cs="Times New Roman"/>
          <w:sz w:val="22"/>
          <w:szCs w:val="22"/>
        </w:rPr>
        <w:t xml:space="preserve"> and</w:t>
      </w:r>
      <w:r w:rsidRPr="000360D1">
        <w:rPr>
          <w:rFonts w:ascii="Times New Roman" w:hAnsi="Times New Roman" w:cs="Times New Roman"/>
          <w:sz w:val="22"/>
          <w:szCs w:val="22"/>
        </w:rPr>
        <w:t xml:space="preserve"> </w:t>
      </w:r>
      <w:r>
        <w:rPr>
          <w:rFonts w:ascii="Times New Roman" w:hAnsi="Times New Roman" w:cs="Times New Roman"/>
          <w:sz w:val="22"/>
          <w:szCs w:val="22"/>
        </w:rPr>
        <w:t xml:space="preserve">recognized as </w:t>
      </w:r>
      <w:r w:rsidRPr="000360D1">
        <w:rPr>
          <w:rFonts w:ascii="Times New Roman" w:hAnsi="Times New Roman" w:cs="Times New Roman"/>
          <w:sz w:val="22"/>
          <w:szCs w:val="22"/>
        </w:rPr>
        <w:t>a leading authority on the law of insurance</w:t>
      </w:r>
      <w:r>
        <w:rPr>
          <w:rFonts w:ascii="Times New Roman" w:hAnsi="Times New Roman" w:cs="Times New Roman"/>
          <w:sz w:val="22"/>
          <w:szCs w:val="22"/>
        </w:rPr>
        <w:t xml:space="preserve">, the author describes a captive insurance company as follows: </w:t>
      </w:r>
      <w:r w:rsidRPr="000360D1">
        <w:rPr>
          <w:rFonts w:ascii="Times New Roman" w:hAnsi="Times New Roman" w:cs="Times New Roman"/>
          <w:sz w:val="22"/>
          <w:szCs w:val="22"/>
        </w:rPr>
        <w:t xml:space="preserve"> </w:t>
      </w:r>
      <w:r>
        <w:rPr>
          <w:rFonts w:ascii="Times New Roman" w:hAnsi="Times New Roman" w:cs="Times New Roman"/>
          <w:sz w:val="22"/>
          <w:szCs w:val="22"/>
        </w:rPr>
        <w:t>“</w:t>
      </w:r>
      <w:r w:rsidRPr="00454D77">
        <w:rPr>
          <w:rFonts w:ascii="Times New Roman" w:hAnsi="Times New Roman" w:cs="Times New Roman"/>
          <w:sz w:val="22"/>
          <w:szCs w:val="22"/>
        </w:rPr>
        <w:t>In recent years, a number of alternatives to traditional commercial insurance arrangements have appeared in</w:t>
      </w:r>
      <w:r>
        <w:rPr>
          <w:rFonts w:ascii="Times New Roman" w:hAnsi="Times New Roman" w:cs="Times New Roman"/>
          <w:sz w:val="22"/>
          <w:szCs w:val="22"/>
        </w:rPr>
        <w:t xml:space="preserve"> </w:t>
      </w:r>
      <w:r w:rsidRPr="00454D77">
        <w:rPr>
          <w:rFonts w:ascii="Times New Roman" w:hAnsi="Times New Roman" w:cs="Times New Roman"/>
          <w:sz w:val="22"/>
          <w:szCs w:val="22"/>
        </w:rPr>
        <w:t>the market in response to what have been difficult economic conditions. These are generally referred to as</w:t>
      </w:r>
      <w:r>
        <w:rPr>
          <w:rFonts w:ascii="Times New Roman" w:hAnsi="Times New Roman" w:cs="Times New Roman"/>
          <w:sz w:val="22"/>
          <w:szCs w:val="22"/>
        </w:rPr>
        <w:t xml:space="preserve"> </w:t>
      </w:r>
      <w:r w:rsidRPr="00454D77">
        <w:rPr>
          <w:rFonts w:ascii="Times New Roman" w:hAnsi="Times New Roman" w:cs="Times New Roman"/>
          <w:sz w:val="22"/>
          <w:szCs w:val="22"/>
        </w:rPr>
        <w:t xml:space="preserve">“alternative risk transfer” (ART) arrangements. </w:t>
      </w:r>
      <w:r w:rsidRPr="0098750A">
        <w:rPr>
          <w:rFonts w:ascii="Times New Roman" w:hAnsi="Times New Roman" w:cs="Times New Roman"/>
          <w:b/>
          <w:sz w:val="22"/>
          <w:szCs w:val="22"/>
        </w:rPr>
        <w:t>Captives, a special kind of insurance company established by a parent company, trade association, or group of companies to insure the risks of its owners, emerged in the 1980s when commercial insurance became scarce in some markets</w:t>
      </w:r>
      <w:r w:rsidRPr="00454D77">
        <w:rPr>
          <w:rFonts w:ascii="Times New Roman" w:hAnsi="Times New Roman" w:cs="Times New Roman"/>
          <w:sz w:val="22"/>
          <w:szCs w:val="22"/>
        </w:rPr>
        <w:t>.</w:t>
      </w:r>
      <w:r>
        <w:rPr>
          <w:rFonts w:ascii="Times New Roman" w:hAnsi="Times New Roman" w:cs="Times New Roman"/>
          <w:sz w:val="22"/>
          <w:szCs w:val="22"/>
        </w:rPr>
        <w:t xml:space="preserve">” (Emphasis added).  </w:t>
      </w:r>
      <w:r w:rsidRPr="00221EB3">
        <w:rPr>
          <w:rFonts w:ascii="Times New Roman" w:hAnsi="Times New Roman" w:cs="Times New Roman"/>
          <w:i/>
          <w:sz w:val="22"/>
          <w:szCs w:val="22"/>
        </w:rPr>
        <w:t>See also</w:t>
      </w:r>
      <w:r>
        <w:rPr>
          <w:rFonts w:ascii="Times New Roman" w:hAnsi="Times New Roman" w:cs="Times New Roman"/>
          <w:sz w:val="22"/>
          <w:szCs w:val="22"/>
        </w:rPr>
        <w:t xml:space="preserve"> </w:t>
      </w:r>
      <w:r w:rsidRPr="002D5862">
        <w:rPr>
          <w:rFonts w:ascii="Times New Roman" w:hAnsi="Times New Roman" w:cs="Times New Roman"/>
          <w:sz w:val="22"/>
          <w:szCs w:val="22"/>
        </w:rPr>
        <w:t>§1.09</w:t>
      </w:r>
      <w:r>
        <w:rPr>
          <w:rFonts w:ascii="Times New Roman" w:hAnsi="Times New Roman" w:cs="Times New Roman"/>
          <w:sz w:val="22"/>
          <w:szCs w:val="22"/>
        </w:rPr>
        <w:t>[3] (Captives) from the above cited Appleman treatise, where the author describes the general business purpose of a captive as follows:  “</w:t>
      </w:r>
      <w:r w:rsidRPr="00415925">
        <w:rPr>
          <w:rFonts w:ascii="Times New Roman" w:hAnsi="Times New Roman" w:cs="Times New Roman"/>
          <w:sz w:val="22"/>
          <w:szCs w:val="22"/>
        </w:rPr>
        <w:t>Businesses sometimes form separate insurance companies to bear the risks of the parent company. These</w:t>
      </w:r>
      <w:r>
        <w:rPr>
          <w:rFonts w:ascii="Times New Roman" w:hAnsi="Times New Roman" w:cs="Times New Roman"/>
          <w:sz w:val="22"/>
          <w:szCs w:val="22"/>
        </w:rPr>
        <w:t xml:space="preserve"> </w:t>
      </w:r>
      <w:r w:rsidRPr="00415925">
        <w:rPr>
          <w:rFonts w:ascii="Times New Roman" w:hAnsi="Times New Roman" w:cs="Times New Roman"/>
          <w:sz w:val="22"/>
          <w:szCs w:val="22"/>
        </w:rPr>
        <w:t>separate companies are called captives</w:t>
      </w:r>
      <w:r>
        <w:rPr>
          <w:rFonts w:ascii="Times New Roman" w:hAnsi="Times New Roman" w:cs="Times New Roman"/>
          <w:sz w:val="22"/>
          <w:szCs w:val="22"/>
        </w:rPr>
        <w:t>…</w:t>
      </w:r>
      <w:r w:rsidRPr="00415925">
        <w:rPr>
          <w:rFonts w:ascii="Times New Roman" w:hAnsi="Times New Roman" w:cs="Times New Roman"/>
          <w:sz w:val="22"/>
          <w:szCs w:val="22"/>
        </w:rPr>
        <w:t xml:space="preserve"> </w:t>
      </w:r>
      <w:r>
        <w:rPr>
          <w:rFonts w:ascii="Times New Roman" w:hAnsi="Times New Roman" w:cs="Times New Roman"/>
          <w:sz w:val="22"/>
          <w:szCs w:val="22"/>
        </w:rPr>
        <w:t>[</w:t>
      </w:r>
      <w:r w:rsidRPr="00415925">
        <w:rPr>
          <w:rFonts w:ascii="Times New Roman" w:hAnsi="Times New Roman" w:cs="Times New Roman"/>
          <w:sz w:val="22"/>
          <w:szCs w:val="22"/>
        </w:rPr>
        <w:t>T</w:t>
      </w:r>
      <w:r>
        <w:rPr>
          <w:rFonts w:ascii="Times New Roman" w:hAnsi="Times New Roman" w:cs="Times New Roman"/>
          <w:sz w:val="22"/>
          <w:szCs w:val="22"/>
        </w:rPr>
        <w:t>]</w:t>
      </w:r>
      <w:r w:rsidRPr="00415925">
        <w:rPr>
          <w:rFonts w:ascii="Times New Roman" w:hAnsi="Times New Roman" w:cs="Times New Roman"/>
          <w:sz w:val="22"/>
          <w:szCs w:val="22"/>
        </w:rPr>
        <w:t>he captive has the potential to</w:t>
      </w:r>
      <w:r>
        <w:rPr>
          <w:rFonts w:ascii="Times New Roman" w:hAnsi="Times New Roman" w:cs="Times New Roman"/>
          <w:sz w:val="22"/>
          <w:szCs w:val="22"/>
        </w:rPr>
        <w:t xml:space="preserve"> </w:t>
      </w:r>
      <w:r w:rsidRPr="00F62228">
        <w:rPr>
          <w:rFonts w:ascii="Times New Roman" w:hAnsi="Times New Roman" w:cs="Times New Roman"/>
          <w:b/>
          <w:sz w:val="22"/>
          <w:szCs w:val="22"/>
        </w:rPr>
        <w:t>produce lower insurance costs for the business than what might occur if the business purchases coverage from a commercial insurer</w:t>
      </w:r>
      <w:r w:rsidRPr="00415925">
        <w:rPr>
          <w:rFonts w:ascii="Times New Roman" w:hAnsi="Times New Roman" w:cs="Times New Roman"/>
          <w:sz w:val="22"/>
          <w:szCs w:val="22"/>
        </w:rPr>
        <w:t>.</w:t>
      </w:r>
      <w:r>
        <w:rPr>
          <w:rFonts w:ascii="Times New Roman" w:hAnsi="Times New Roman" w:cs="Times New Roman"/>
          <w:sz w:val="22"/>
          <w:szCs w:val="22"/>
        </w:rPr>
        <w:t xml:space="preserve">  </w:t>
      </w:r>
      <w:r w:rsidRPr="00F62228">
        <w:rPr>
          <w:rFonts w:ascii="Times New Roman" w:hAnsi="Times New Roman" w:cs="Times New Roman"/>
          <w:sz w:val="22"/>
          <w:szCs w:val="22"/>
        </w:rPr>
        <w:t>There are a few thousand captives operating in the United States</w:t>
      </w:r>
      <w:r>
        <w:rPr>
          <w:rFonts w:ascii="Times New Roman" w:hAnsi="Times New Roman" w:cs="Times New Roman"/>
          <w:sz w:val="22"/>
          <w:szCs w:val="22"/>
        </w:rPr>
        <w:t>.” (Emphasis added).</w:t>
      </w:r>
    </w:p>
    <w:p w14:paraId="4025DDC0" w14:textId="77777777" w:rsidR="00434620" w:rsidRPr="0018765D" w:rsidRDefault="00434620">
      <w:pPr>
        <w:pStyle w:val="EndnoteText"/>
        <w:rPr>
          <w:rFonts w:ascii="Times New Roman" w:hAnsi="Times New Roman" w:cs="Times New Roman"/>
          <w:sz w:val="22"/>
          <w:szCs w:val="22"/>
        </w:rPr>
      </w:pPr>
    </w:p>
  </w:endnote>
  <w:endnote w:id="7">
    <w:p w14:paraId="6EA2A11D" w14:textId="000BEA95" w:rsidR="00434620" w:rsidRPr="00367EE2" w:rsidRDefault="00434620" w:rsidP="00410880">
      <w:pPr>
        <w:pStyle w:val="EndnoteText"/>
        <w:rPr>
          <w:rFonts w:ascii="Times New Roman" w:hAnsi="Times New Roman" w:cs="Times New Roman"/>
          <w:sz w:val="22"/>
          <w:szCs w:val="22"/>
        </w:rPr>
      </w:pPr>
      <w:r w:rsidRPr="00367EE2">
        <w:rPr>
          <w:rStyle w:val="EndnoteReference"/>
          <w:rFonts w:ascii="Times New Roman" w:hAnsi="Times New Roman" w:cs="Times New Roman"/>
          <w:sz w:val="22"/>
          <w:szCs w:val="22"/>
        </w:rPr>
        <w:endnoteRef/>
      </w:r>
      <w:r w:rsidRPr="00367EE2">
        <w:rPr>
          <w:rFonts w:ascii="Times New Roman" w:hAnsi="Times New Roman" w:cs="Times New Roman"/>
          <w:sz w:val="22"/>
          <w:szCs w:val="22"/>
        </w:rPr>
        <w:t xml:space="preserve"> </w:t>
      </w:r>
      <w:r w:rsidRPr="00DB3636">
        <w:rPr>
          <w:rFonts w:ascii="Times New Roman" w:hAnsi="Times New Roman" w:cs="Times New Roman"/>
          <w:sz w:val="22"/>
          <w:szCs w:val="22"/>
        </w:rPr>
        <w:t>254 F.3d 1014 (11th Cir. 2001)</w:t>
      </w:r>
      <w:r>
        <w:rPr>
          <w:rFonts w:ascii="Times New Roman" w:hAnsi="Times New Roman" w:cs="Times New Roman"/>
          <w:sz w:val="22"/>
          <w:szCs w:val="22"/>
        </w:rPr>
        <w:t xml:space="preserve">, rev’g </w:t>
      </w:r>
      <w:r w:rsidRPr="00367EE2">
        <w:rPr>
          <w:rFonts w:ascii="Times New Roman" w:hAnsi="Times New Roman" w:cs="Times New Roman"/>
          <w:sz w:val="22"/>
          <w:szCs w:val="22"/>
        </w:rPr>
        <w:t>TC Memo 1999-268</w:t>
      </w:r>
      <w:r>
        <w:rPr>
          <w:rFonts w:ascii="Times New Roman" w:hAnsi="Times New Roman" w:cs="Times New Roman"/>
          <w:sz w:val="22"/>
          <w:szCs w:val="22"/>
        </w:rPr>
        <w:t>.</w:t>
      </w:r>
    </w:p>
    <w:p w14:paraId="700BB956" w14:textId="77777777" w:rsidR="00434620" w:rsidRPr="00367EE2" w:rsidRDefault="00434620" w:rsidP="00410880">
      <w:pPr>
        <w:pStyle w:val="EndnoteText"/>
        <w:rPr>
          <w:rFonts w:ascii="Times New Roman" w:hAnsi="Times New Roman" w:cs="Times New Roman"/>
          <w:sz w:val="22"/>
          <w:szCs w:val="22"/>
        </w:rPr>
      </w:pPr>
    </w:p>
  </w:endnote>
  <w:endnote w:id="8">
    <w:p w14:paraId="0CD2165A" w14:textId="77777777" w:rsidR="00434620" w:rsidRPr="00913410" w:rsidRDefault="00434620" w:rsidP="00410880">
      <w:pPr>
        <w:pStyle w:val="EndnoteText"/>
        <w:rPr>
          <w:rFonts w:ascii="Times New Roman" w:hAnsi="Times New Roman" w:cs="Times New Roman"/>
          <w:sz w:val="22"/>
          <w:szCs w:val="22"/>
        </w:rPr>
      </w:pPr>
      <w:r w:rsidRPr="00913410">
        <w:rPr>
          <w:rStyle w:val="EndnoteReference"/>
          <w:rFonts w:ascii="Times New Roman" w:hAnsi="Times New Roman" w:cs="Times New Roman"/>
          <w:sz w:val="22"/>
          <w:szCs w:val="22"/>
        </w:rPr>
        <w:endnoteRef/>
      </w:r>
      <w:r w:rsidRPr="00913410">
        <w:rPr>
          <w:rFonts w:ascii="Times New Roman" w:hAnsi="Times New Roman" w:cs="Times New Roman"/>
          <w:sz w:val="22"/>
          <w:szCs w:val="22"/>
        </w:rPr>
        <w:t xml:space="preserve"> </w:t>
      </w:r>
      <w:r w:rsidRPr="009A5102">
        <w:rPr>
          <w:rFonts w:ascii="Times New Roman" w:hAnsi="Times New Roman" w:cs="Times New Roman"/>
          <w:i/>
          <w:sz w:val="22"/>
          <w:szCs w:val="22"/>
        </w:rPr>
        <w:t>Id</w:t>
      </w:r>
      <w:r>
        <w:rPr>
          <w:rFonts w:ascii="Times New Roman" w:hAnsi="Times New Roman" w:cs="Times New Roman"/>
          <w:sz w:val="22"/>
          <w:szCs w:val="22"/>
        </w:rPr>
        <w:t>. at 1018 (Emphasis added).</w:t>
      </w:r>
    </w:p>
    <w:p w14:paraId="72B022C7" w14:textId="77777777" w:rsidR="00434620" w:rsidRPr="00913410" w:rsidRDefault="00434620" w:rsidP="00410880">
      <w:pPr>
        <w:pStyle w:val="EndnoteText"/>
        <w:rPr>
          <w:rFonts w:ascii="Times New Roman" w:hAnsi="Times New Roman" w:cs="Times New Roman"/>
          <w:sz w:val="22"/>
          <w:szCs w:val="22"/>
        </w:rPr>
      </w:pPr>
    </w:p>
  </w:endnote>
  <w:endnote w:id="9">
    <w:p w14:paraId="6A333350" w14:textId="77777777" w:rsidR="00434620" w:rsidRPr="007F5035" w:rsidRDefault="00434620" w:rsidP="00410880">
      <w:pPr>
        <w:pStyle w:val="EndnoteText"/>
        <w:rPr>
          <w:rFonts w:ascii="Times New Roman" w:hAnsi="Times New Roman" w:cs="Times New Roman"/>
          <w:sz w:val="22"/>
          <w:szCs w:val="22"/>
        </w:rPr>
      </w:pPr>
      <w:r w:rsidRPr="00913410">
        <w:rPr>
          <w:rStyle w:val="EndnoteReference"/>
          <w:rFonts w:ascii="Times New Roman" w:hAnsi="Times New Roman" w:cs="Times New Roman"/>
          <w:sz w:val="22"/>
          <w:szCs w:val="22"/>
        </w:rPr>
        <w:endnoteRef/>
      </w:r>
      <w:r w:rsidRPr="00913410">
        <w:rPr>
          <w:rFonts w:ascii="Times New Roman" w:hAnsi="Times New Roman" w:cs="Times New Roman"/>
          <w:sz w:val="22"/>
          <w:szCs w:val="22"/>
        </w:rPr>
        <w:t xml:space="preserve"> </w:t>
      </w:r>
      <w:r w:rsidRPr="009A5102">
        <w:rPr>
          <w:rFonts w:ascii="Times New Roman" w:hAnsi="Times New Roman" w:cs="Times New Roman"/>
          <w:i/>
          <w:sz w:val="22"/>
          <w:szCs w:val="22"/>
        </w:rPr>
        <w:t>Id</w:t>
      </w:r>
      <w:r>
        <w:rPr>
          <w:rFonts w:ascii="Times New Roman" w:hAnsi="Times New Roman" w:cs="Times New Roman"/>
          <w:sz w:val="22"/>
          <w:szCs w:val="22"/>
        </w:rPr>
        <w:t xml:space="preserve">. at </w:t>
      </w:r>
      <w:r w:rsidRPr="007F5035">
        <w:rPr>
          <w:rFonts w:ascii="Times New Roman" w:hAnsi="Times New Roman" w:cs="Times New Roman"/>
          <w:sz w:val="22"/>
          <w:szCs w:val="22"/>
        </w:rPr>
        <w:t>1020 (Emphasis added).</w:t>
      </w:r>
    </w:p>
    <w:p w14:paraId="49446A31" w14:textId="77777777" w:rsidR="00434620" w:rsidRPr="006A5DF3" w:rsidRDefault="00434620" w:rsidP="00410880">
      <w:pPr>
        <w:pStyle w:val="EndnoteText"/>
        <w:rPr>
          <w:rFonts w:ascii="Times New Roman" w:hAnsi="Times New Roman" w:cs="Times New Roman"/>
          <w:sz w:val="22"/>
          <w:szCs w:val="22"/>
        </w:rPr>
      </w:pPr>
    </w:p>
  </w:endnote>
  <w:endnote w:id="10">
    <w:p w14:paraId="20E7AB53" w14:textId="2B64739A" w:rsidR="00434620" w:rsidRPr="00A5766B" w:rsidRDefault="00434620" w:rsidP="006A5DF3">
      <w:pPr>
        <w:pStyle w:val="EndnoteText"/>
        <w:rPr>
          <w:rFonts w:ascii="Times New Roman" w:hAnsi="Times New Roman" w:cs="Times New Roman"/>
          <w:sz w:val="22"/>
          <w:szCs w:val="22"/>
        </w:rPr>
      </w:pPr>
      <w:r w:rsidRPr="006A5DF3">
        <w:rPr>
          <w:rStyle w:val="EndnoteReference"/>
          <w:rFonts w:ascii="Times New Roman" w:hAnsi="Times New Roman" w:cs="Times New Roman"/>
          <w:sz w:val="22"/>
          <w:szCs w:val="22"/>
        </w:rPr>
        <w:endnoteRef/>
      </w:r>
      <w:r w:rsidRPr="006A5DF3">
        <w:rPr>
          <w:rFonts w:ascii="Times New Roman" w:hAnsi="Times New Roman" w:cs="Times New Roman"/>
          <w:sz w:val="22"/>
          <w:szCs w:val="22"/>
        </w:rPr>
        <w:t xml:space="preserve"> </w:t>
      </w:r>
      <w:r w:rsidRPr="00654304">
        <w:rPr>
          <w:rFonts w:ascii="Times New Roman" w:hAnsi="Times New Roman" w:cs="Times New Roman"/>
          <w:i/>
          <w:sz w:val="22"/>
          <w:szCs w:val="22"/>
        </w:rPr>
        <w:t>See</w:t>
      </w:r>
      <w:r w:rsidRPr="00715A0A">
        <w:rPr>
          <w:rFonts w:ascii="Times New Roman" w:hAnsi="Times New Roman" w:cs="Times New Roman"/>
          <w:sz w:val="22"/>
          <w:szCs w:val="22"/>
        </w:rPr>
        <w:t xml:space="preserve"> Exhibit 104-P (Expert Report of Dr. Neil Doherty, March 27, 2017)</w:t>
      </w:r>
      <w:r>
        <w:rPr>
          <w:rFonts w:ascii="Times New Roman" w:hAnsi="Times New Roman" w:cs="Times New Roman"/>
          <w:sz w:val="22"/>
          <w:szCs w:val="22"/>
        </w:rPr>
        <w:t xml:space="preserve">, page 16, where Dr. Doherty concluded as follows:  </w:t>
      </w:r>
      <w:r w:rsidRPr="003B1A9B">
        <w:rPr>
          <w:rFonts w:ascii="Times New Roman" w:hAnsi="Times New Roman" w:cs="Times New Roman"/>
          <w:sz w:val="22"/>
          <w:szCs w:val="22"/>
        </w:rPr>
        <w:t>As I have demonstrated earlier, using the nominal dollar amount of the premium allocation as a</w:t>
      </w:r>
      <w:r>
        <w:rPr>
          <w:rFonts w:ascii="Times New Roman" w:hAnsi="Times New Roman" w:cs="Times New Roman"/>
          <w:sz w:val="22"/>
          <w:szCs w:val="22"/>
        </w:rPr>
        <w:t xml:space="preserve"> </w:t>
      </w:r>
      <w:r w:rsidRPr="003B1A9B">
        <w:rPr>
          <w:rFonts w:ascii="Times New Roman" w:hAnsi="Times New Roman" w:cs="Times New Roman"/>
          <w:sz w:val="22"/>
          <w:szCs w:val="22"/>
        </w:rPr>
        <w:t>proxy can severely understate the amount of risk distribution when the related exposure placed in</w:t>
      </w:r>
      <w:r>
        <w:rPr>
          <w:rFonts w:ascii="Times New Roman" w:hAnsi="Times New Roman" w:cs="Times New Roman"/>
          <w:sz w:val="22"/>
          <w:szCs w:val="22"/>
        </w:rPr>
        <w:t xml:space="preserve"> </w:t>
      </w:r>
      <w:r w:rsidRPr="003B1A9B">
        <w:rPr>
          <w:rFonts w:ascii="Times New Roman" w:hAnsi="Times New Roman" w:cs="Times New Roman"/>
          <w:sz w:val="22"/>
          <w:szCs w:val="22"/>
        </w:rPr>
        <w:t>the captive is a predictable first layer of coverage, and the more risky higher layer is pooled with</w:t>
      </w:r>
      <w:r>
        <w:rPr>
          <w:rFonts w:ascii="Times New Roman" w:hAnsi="Times New Roman" w:cs="Times New Roman"/>
          <w:sz w:val="22"/>
          <w:szCs w:val="22"/>
        </w:rPr>
        <w:t xml:space="preserve"> </w:t>
      </w:r>
      <w:r w:rsidRPr="003B1A9B">
        <w:rPr>
          <w:rFonts w:ascii="Times New Roman" w:hAnsi="Times New Roman" w:cs="Times New Roman"/>
          <w:sz w:val="22"/>
          <w:szCs w:val="22"/>
        </w:rPr>
        <w:t>that of unrelated parties. This layered structure is an essential feature of the Capstone program</w:t>
      </w:r>
      <w:r>
        <w:rPr>
          <w:rFonts w:ascii="Times New Roman" w:hAnsi="Times New Roman" w:cs="Times New Roman"/>
          <w:sz w:val="22"/>
          <w:szCs w:val="22"/>
        </w:rPr>
        <w:t xml:space="preserve">… </w:t>
      </w:r>
      <w:r w:rsidRPr="00A5766B">
        <w:rPr>
          <w:rFonts w:ascii="Times New Roman" w:hAnsi="Times New Roman" w:cs="Times New Roman"/>
          <w:sz w:val="22"/>
          <w:szCs w:val="22"/>
        </w:rPr>
        <w:t>By layering its risk between its captive and PoolRe, each Capstone member would retain the</w:t>
      </w:r>
    </w:p>
    <w:p w14:paraId="72A44912" w14:textId="77777777" w:rsidR="00434620" w:rsidRPr="00A5766B" w:rsidRDefault="00434620" w:rsidP="006A5DF3">
      <w:pPr>
        <w:pStyle w:val="EndnoteText"/>
        <w:rPr>
          <w:rFonts w:ascii="Times New Roman" w:hAnsi="Times New Roman" w:cs="Times New Roman"/>
          <w:sz w:val="22"/>
          <w:szCs w:val="22"/>
        </w:rPr>
      </w:pPr>
      <w:r w:rsidRPr="00A5766B">
        <w:rPr>
          <w:rFonts w:ascii="Times New Roman" w:hAnsi="Times New Roman" w:cs="Times New Roman"/>
          <w:sz w:val="22"/>
          <w:szCs w:val="22"/>
        </w:rPr>
        <w:t>more frequent and predictable losses (where the margin of error in estimating its cost of risk was</w:t>
      </w:r>
    </w:p>
    <w:p w14:paraId="2394210A" w14:textId="77777777" w:rsidR="00434620" w:rsidRPr="00A5766B" w:rsidRDefault="00434620" w:rsidP="006A5DF3">
      <w:pPr>
        <w:pStyle w:val="EndnoteText"/>
        <w:rPr>
          <w:rFonts w:ascii="Times New Roman" w:hAnsi="Times New Roman" w:cs="Times New Roman"/>
          <w:sz w:val="22"/>
          <w:szCs w:val="22"/>
        </w:rPr>
      </w:pPr>
      <w:r w:rsidRPr="00A5766B">
        <w:rPr>
          <w:rFonts w:ascii="Times New Roman" w:hAnsi="Times New Roman" w:cs="Times New Roman"/>
          <w:sz w:val="22"/>
          <w:szCs w:val="22"/>
        </w:rPr>
        <w:t>low). But the larger and less frequent losses (as well as unusual accumulations of larger losses)</w:t>
      </w:r>
    </w:p>
    <w:p w14:paraId="04C44CE3" w14:textId="77777777" w:rsidR="00434620" w:rsidRPr="00A5766B" w:rsidRDefault="00434620" w:rsidP="006A5DF3">
      <w:pPr>
        <w:pStyle w:val="EndnoteText"/>
        <w:rPr>
          <w:rFonts w:ascii="Times New Roman" w:hAnsi="Times New Roman" w:cs="Times New Roman"/>
          <w:sz w:val="22"/>
          <w:szCs w:val="22"/>
        </w:rPr>
      </w:pPr>
      <w:r w:rsidRPr="00A5766B">
        <w:rPr>
          <w:rFonts w:ascii="Times New Roman" w:hAnsi="Times New Roman" w:cs="Times New Roman"/>
          <w:sz w:val="22"/>
          <w:szCs w:val="22"/>
        </w:rPr>
        <w:t>would be pooled and thereby the risk would be tamed by the time it was reinsured back to the</w:t>
      </w:r>
    </w:p>
    <w:p w14:paraId="79C6422E" w14:textId="77777777" w:rsidR="00434620" w:rsidRPr="00A5766B" w:rsidRDefault="00434620" w:rsidP="006A5DF3">
      <w:pPr>
        <w:pStyle w:val="EndnoteText"/>
        <w:rPr>
          <w:rFonts w:ascii="Times New Roman" w:hAnsi="Times New Roman" w:cs="Times New Roman"/>
          <w:sz w:val="22"/>
          <w:szCs w:val="22"/>
        </w:rPr>
      </w:pPr>
      <w:r w:rsidRPr="00A5766B">
        <w:rPr>
          <w:rFonts w:ascii="Times New Roman" w:hAnsi="Times New Roman" w:cs="Times New Roman"/>
          <w:sz w:val="22"/>
          <w:szCs w:val="22"/>
        </w:rPr>
        <w:t>captive. This is a very efficient design for getting more “bang for the premium buck” out of risk</w:t>
      </w:r>
    </w:p>
    <w:p w14:paraId="34BB8FC7" w14:textId="1D245A16" w:rsidR="00434620" w:rsidRPr="006A5DF3" w:rsidRDefault="00434620">
      <w:pPr>
        <w:pStyle w:val="EndnoteText"/>
        <w:rPr>
          <w:rFonts w:ascii="Times New Roman" w:hAnsi="Times New Roman" w:cs="Times New Roman"/>
          <w:sz w:val="22"/>
          <w:szCs w:val="22"/>
        </w:rPr>
      </w:pPr>
      <w:r w:rsidRPr="00A5766B">
        <w:rPr>
          <w:rFonts w:ascii="Times New Roman" w:hAnsi="Times New Roman" w:cs="Times New Roman"/>
          <w:sz w:val="22"/>
          <w:szCs w:val="22"/>
        </w:rPr>
        <w:t>distribution.</w:t>
      </w:r>
      <w:r>
        <w:rPr>
          <w:rFonts w:ascii="Times New Roman" w:hAnsi="Times New Roman" w:cs="Times New Roman"/>
          <w:sz w:val="22"/>
          <w:szCs w:val="22"/>
        </w:rPr>
        <w:t>”</w:t>
      </w:r>
    </w:p>
    <w:p w14:paraId="24960064" w14:textId="77777777" w:rsidR="00434620" w:rsidRPr="006A5DF3" w:rsidRDefault="00434620">
      <w:pPr>
        <w:pStyle w:val="EndnoteText"/>
        <w:rPr>
          <w:rFonts w:ascii="Times New Roman" w:hAnsi="Times New Roman" w:cs="Times New Roman"/>
          <w:sz w:val="22"/>
          <w:szCs w:val="22"/>
        </w:rPr>
      </w:pPr>
    </w:p>
  </w:endnote>
  <w:endnote w:id="11">
    <w:p w14:paraId="39639874" w14:textId="68318AED" w:rsidR="00434620" w:rsidRDefault="00434620">
      <w:pPr>
        <w:pStyle w:val="EndnoteText"/>
        <w:rPr>
          <w:rFonts w:ascii="Times New Roman" w:hAnsi="Times New Roman" w:cs="Times New Roman"/>
          <w:sz w:val="22"/>
          <w:szCs w:val="22"/>
        </w:rPr>
      </w:pPr>
      <w:r w:rsidRPr="007F5035">
        <w:rPr>
          <w:rStyle w:val="EndnoteReference"/>
          <w:rFonts w:ascii="Times New Roman" w:hAnsi="Times New Roman" w:cs="Times New Roman"/>
          <w:sz w:val="22"/>
          <w:szCs w:val="22"/>
        </w:rPr>
        <w:endnoteRef/>
      </w:r>
      <w:r w:rsidRPr="007F5035">
        <w:rPr>
          <w:rFonts w:ascii="Times New Roman" w:hAnsi="Times New Roman" w:cs="Times New Roman"/>
          <w:sz w:val="22"/>
          <w:szCs w:val="22"/>
        </w:rPr>
        <w:t xml:space="preserve"> </w:t>
      </w:r>
      <w:r w:rsidRPr="00750E7B">
        <w:rPr>
          <w:rFonts w:ascii="Times New Roman" w:hAnsi="Times New Roman" w:cs="Times New Roman"/>
          <w:sz w:val="22"/>
          <w:szCs w:val="22"/>
        </w:rPr>
        <w:t>881 F.2d 247 (6th Cir.1989)</w:t>
      </w:r>
      <w:r w:rsidRPr="00E1182F">
        <w:rPr>
          <w:rFonts w:ascii="Times New Roman" w:hAnsi="Times New Roman" w:cs="Times New Roman"/>
          <w:sz w:val="22"/>
          <w:szCs w:val="22"/>
        </w:rPr>
        <w:t xml:space="preserve">, </w:t>
      </w:r>
      <w:r w:rsidRPr="009A6B21">
        <w:rPr>
          <w:rFonts w:ascii="Times New Roman" w:hAnsi="Times New Roman" w:cs="Times New Roman"/>
          <w:sz w:val="22"/>
          <w:szCs w:val="22"/>
        </w:rPr>
        <w:t>rev</w:t>
      </w:r>
      <w:r>
        <w:rPr>
          <w:rFonts w:ascii="Times New Roman" w:hAnsi="Times New Roman" w:cs="Times New Roman"/>
          <w:sz w:val="22"/>
          <w:szCs w:val="22"/>
        </w:rPr>
        <w:t>’g</w:t>
      </w:r>
      <w:r w:rsidRPr="009A6B21">
        <w:rPr>
          <w:rFonts w:ascii="Times New Roman" w:hAnsi="Times New Roman" w:cs="Times New Roman"/>
          <w:sz w:val="22"/>
          <w:szCs w:val="22"/>
        </w:rPr>
        <w:t xml:space="preserve"> in part and aff</w:t>
      </w:r>
      <w:r>
        <w:rPr>
          <w:rFonts w:ascii="Times New Roman" w:hAnsi="Times New Roman" w:cs="Times New Roman"/>
          <w:sz w:val="22"/>
          <w:szCs w:val="22"/>
        </w:rPr>
        <w:t>’g</w:t>
      </w:r>
      <w:r w:rsidRPr="009A6B21">
        <w:rPr>
          <w:rFonts w:ascii="Times New Roman" w:hAnsi="Times New Roman" w:cs="Times New Roman"/>
          <w:sz w:val="22"/>
          <w:szCs w:val="22"/>
        </w:rPr>
        <w:t xml:space="preserve"> in part</w:t>
      </w:r>
      <w:r>
        <w:rPr>
          <w:rFonts w:ascii="Times New Roman" w:hAnsi="Times New Roman" w:cs="Times New Roman"/>
          <w:sz w:val="22"/>
          <w:szCs w:val="22"/>
        </w:rPr>
        <w:t xml:space="preserve"> </w:t>
      </w:r>
      <w:r w:rsidRPr="0061497A">
        <w:rPr>
          <w:rFonts w:ascii="Times New Roman" w:hAnsi="Times New Roman" w:cs="Times New Roman"/>
          <w:sz w:val="22"/>
          <w:szCs w:val="22"/>
        </w:rPr>
        <w:t>88 T.C. 197 (1987</w:t>
      </w:r>
      <w:r w:rsidRPr="00F31776">
        <w:rPr>
          <w:rFonts w:ascii="Times New Roman" w:hAnsi="Times New Roman" w:cs="Times New Roman"/>
          <w:sz w:val="22"/>
          <w:szCs w:val="22"/>
        </w:rPr>
        <w:t>)</w:t>
      </w:r>
      <w:r>
        <w:rPr>
          <w:rFonts w:ascii="Times New Roman" w:hAnsi="Times New Roman" w:cs="Times New Roman"/>
          <w:sz w:val="22"/>
          <w:szCs w:val="22"/>
        </w:rPr>
        <w:t>.</w:t>
      </w:r>
    </w:p>
    <w:p w14:paraId="4FAB8781" w14:textId="77777777" w:rsidR="00434620" w:rsidRPr="007F5035" w:rsidRDefault="00434620">
      <w:pPr>
        <w:pStyle w:val="EndnoteText"/>
        <w:rPr>
          <w:rFonts w:ascii="Times New Roman" w:hAnsi="Times New Roman" w:cs="Times New Roman"/>
          <w:sz w:val="22"/>
          <w:szCs w:val="22"/>
        </w:rPr>
      </w:pPr>
    </w:p>
  </w:endnote>
  <w:endnote w:id="12">
    <w:p w14:paraId="29733E99" w14:textId="7AFCA029" w:rsidR="00434620" w:rsidRPr="002A3A93" w:rsidRDefault="00434620">
      <w:pPr>
        <w:pStyle w:val="EndnoteText"/>
        <w:rPr>
          <w:rFonts w:ascii="Times New Roman" w:hAnsi="Times New Roman" w:cs="Times New Roman"/>
          <w:sz w:val="22"/>
          <w:szCs w:val="22"/>
        </w:rPr>
      </w:pPr>
      <w:r w:rsidRPr="002A3A93">
        <w:rPr>
          <w:rStyle w:val="EndnoteReference"/>
          <w:rFonts w:ascii="Times New Roman" w:hAnsi="Times New Roman" w:cs="Times New Roman"/>
          <w:sz w:val="22"/>
          <w:szCs w:val="22"/>
        </w:rPr>
        <w:endnoteRef/>
      </w:r>
      <w:r w:rsidRPr="002A3A93">
        <w:rPr>
          <w:rFonts w:ascii="Times New Roman" w:hAnsi="Times New Roman" w:cs="Times New Roman"/>
          <w:sz w:val="22"/>
          <w:szCs w:val="22"/>
        </w:rPr>
        <w:t xml:space="preserve"> </w:t>
      </w:r>
      <w:r w:rsidRPr="008F0B40">
        <w:rPr>
          <w:rFonts w:ascii="Times New Roman" w:hAnsi="Times New Roman" w:cs="Times New Roman"/>
          <w:i/>
          <w:sz w:val="22"/>
          <w:szCs w:val="22"/>
        </w:rPr>
        <w:t xml:space="preserve">See </w:t>
      </w:r>
      <w:r w:rsidRPr="005B1962">
        <w:rPr>
          <w:rFonts w:ascii="Times New Roman" w:hAnsi="Times New Roman" w:cs="Times New Roman"/>
          <w:i/>
          <w:sz w:val="22"/>
          <w:szCs w:val="22"/>
        </w:rPr>
        <w:t>Humana</w:t>
      </w:r>
      <w:r>
        <w:rPr>
          <w:rFonts w:ascii="Times New Roman" w:hAnsi="Times New Roman" w:cs="Times New Roman"/>
          <w:sz w:val="22"/>
          <w:szCs w:val="22"/>
        </w:rPr>
        <w:t xml:space="preserve">, </w:t>
      </w:r>
      <w:r w:rsidRPr="002A3A93">
        <w:rPr>
          <w:rFonts w:ascii="Times New Roman" w:hAnsi="Times New Roman" w:cs="Times New Roman"/>
          <w:sz w:val="22"/>
          <w:szCs w:val="22"/>
        </w:rPr>
        <w:t xml:space="preserve">881 F.2d </w:t>
      </w:r>
      <w:r>
        <w:rPr>
          <w:rFonts w:ascii="Times New Roman" w:hAnsi="Times New Roman" w:cs="Times New Roman"/>
          <w:sz w:val="22"/>
          <w:szCs w:val="22"/>
        </w:rPr>
        <w:t>at 255</w:t>
      </w:r>
      <w:r w:rsidRPr="002A3A93">
        <w:rPr>
          <w:rFonts w:ascii="Times New Roman" w:hAnsi="Times New Roman" w:cs="Times New Roman"/>
          <w:sz w:val="22"/>
          <w:szCs w:val="22"/>
        </w:rPr>
        <w:t xml:space="preserve"> (6th Cir.1989).</w:t>
      </w:r>
      <w:r>
        <w:rPr>
          <w:rFonts w:ascii="Times New Roman" w:hAnsi="Times New Roman" w:cs="Times New Roman"/>
          <w:sz w:val="22"/>
          <w:szCs w:val="22"/>
        </w:rPr>
        <w:t xml:space="preserve"> (Emphasis added).</w:t>
      </w:r>
    </w:p>
    <w:p w14:paraId="6ED5528A" w14:textId="77777777" w:rsidR="00434620" w:rsidRPr="004916F6" w:rsidRDefault="00434620">
      <w:pPr>
        <w:pStyle w:val="EndnoteText"/>
        <w:rPr>
          <w:rFonts w:ascii="Times New Roman" w:hAnsi="Times New Roman" w:cs="Times New Roman"/>
          <w:sz w:val="22"/>
          <w:szCs w:val="22"/>
        </w:rPr>
      </w:pPr>
    </w:p>
  </w:endnote>
  <w:endnote w:id="13">
    <w:p w14:paraId="6467A9DA" w14:textId="461D16DD" w:rsidR="00434620" w:rsidRPr="004916F6" w:rsidRDefault="00434620">
      <w:pPr>
        <w:pStyle w:val="EndnoteText"/>
        <w:rPr>
          <w:rFonts w:ascii="Times New Roman" w:hAnsi="Times New Roman" w:cs="Times New Roman"/>
          <w:sz w:val="22"/>
          <w:szCs w:val="22"/>
        </w:rPr>
      </w:pPr>
      <w:r w:rsidRPr="004916F6">
        <w:rPr>
          <w:rStyle w:val="EndnoteReference"/>
          <w:rFonts w:ascii="Times New Roman" w:hAnsi="Times New Roman" w:cs="Times New Roman"/>
          <w:sz w:val="22"/>
          <w:szCs w:val="22"/>
        </w:rPr>
        <w:endnoteRef/>
      </w:r>
      <w:r w:rsidRPr="004916F6">
        <w:rPr>
          <w:rFonts w:ascii="Times New Roman" w:hAnsi="Times New Roman" w:cs="Times New Roman"/>
          <w:sz w:val="22"/>
          <w:szCs w:val="22"/>
        </w:rPr>
        <w:t xml:space="preserve"> </w:t>
      </w:r>
      <w:r w:rsidRPr="0043259C">
        <w:rPr>
          <w:rFonts w:ascii="Times New Roman" w:hAnsi="Times New Roman" w:cs="Times New Roman"/>
          <w:sz w:val="22"/>
          <w:szCs w:val="22"/>
        </w:rPr>
        <w:t>62 F.3d 835 (6th Cir. 1995)</w:t>
      </w:r>
      <w:r>
        <w:rPr>
          <w:rFonts w:ascii="Times New Roman" w:hAnsi="Times New Roman" w:cs="Times New Roman"/>
          <w:sz w:val="22"/>
          <w:szCs w:val="22"/>
        </w:rPr>
        <w:t xml:space="preserve">, rev’g </w:t>
      </w:r>
      <w:r w:rsidRPr="004916F6">
        <w:rPr>
          <w:rFonts w:ascii="Times New Roman" w:hAnsi="Times New Roman" w:cs="Times New Roman"/>
          <w:sz w:val="22"/>
          <w:szCs w:val="22"/>
        </w:rPr>
        <w:t>66 T.C.M. 1551 (1993)</w:t>
      </w:r>
      <w:r>
        <w:rPr>
          <w:rFonts w:ascii="Times New Roman" w:hAnsi="Times New Roman" w:cs="Times New Roman"/>
          <w:sz w:val="22"/>
          <w:szCs w:val="22"/>
        </w:rPr>
        <w:t>.</w:t>
      </w:r>
    </w:p>
    <w:p w14:paraId="1C3E9148" w14:textId="77777777" w:rsidR="00434620" w:rsidRPr="004916F6" w:rsidRDefault="00434620">
      <w:pPr>
        <w:pStyle w:val="EndnoteText"/>
        <w:rPr>
          <w:rFonts w:ascii="Times New Roman" w:hAnsi="Times New Roman" w:cs="Times New Roman"/>
          <w:sz w:val="22"/>
          <w:szCs w:val="22"/>
        </w:rPr>
      </w:pPr>
    </w:p>
  </w:endnote>
  <w:endnote w:id="14">
    <w:p w14:paraId="2040774E" w14:textId="083C45BC" w:rsidR="00434620" w:rsidRDefault="00434620">
      <w:pPr>
        <w:pStyle w:val="EndnoteText"/>
        <w:rPr>
          <w:rFonts w:ascii="Times New Roman" w:hAnsi="Times New Roman" w:cs="Times New Roman"/>
          <w:sz w:val="22"/>
          <w:szCs w:val="22"/>
        </w:rPr>
      </w:pPr>
      <w:r w:rsidRPr="002A52DC">
        <w:rPr>
          <w:rStyle w:val="EndnoteReference"/>
          <w:rFonts w:ascii="Times New Roman" w:hAnsi="Times New Roman" w:cs="Times New Roman"/>
          <w:sz w:val="22"/>
          <w:szCs w:val="22"/>
        </w:rPr>
        <w:endnoteRef/>
      </w:r>
      <w:r w:rsidRPr="002A52DC">
        <w:rPr>
          <w:rFonts w:ascii="Times New Roman" w:hAnsi="Times New Roman" w:cs="Times New Roman"/>
          <w:sz w:val="22"/>
          <w:szCs w:val="22"/>
        </w:rPr>
        <w:t xml:space="preserve"> </w:t>
      </w:r>
      <w:r>
        <w:rPr>
          <w:rFonts w:ascii="Times New Roman" w:hAnsi="Times New Roman" w:cs="Times New Roman"/>
          <w:sz w:val="22"/>
          <w:szCs w:val="22"/>
        </w:rPr>
        <w:t xml:space="preserve">A Motion for Reconsideration of Findings or Opinion (pursuant to Rule 161) was filed in </w:t>
      </w:r>
      <w:r w:rsidRPr="00181AF4">
        <w:rPr>
          <w:rFonts w:ascii="Times New Roman" w:hAnsi="Times New Roman" w:cs="Times New Roman"/>
          <w:i/>
          <w:sz w:val="22"/>
          <w:szCs w:val="22"/>
        </w:rPr>
        <w:t>Avrahami</w:t>
      </w:r>
      <w:r>
        <w:rPr>
          <w:rFonts w:ascii="Times New Roman" w:hAnsi="Times New Roman" w:cs="Times New Roman"/>
          <w:sz w:val="22"/>
          <w:szCs w:val="22"/>
        </w:rPr>
        <w:t xml:space="preserve"> by the Petitioners (the Avrahamis and Feedback Insurance Company, Ltd.) on September 21, 2017, and such motion was subsequently denied on November 14, 2017.  The Petitioners in </w:t>
      </w:r>
      <w:r w:rsidRPr="00AD6158">
        <w:rPr>
          <w:rFonts w:ascii="Times New Roman" w:hAnsi="Times New Roman" w:cs="Times New Roman"/>
          <w:i/>
          <w:sz w:val="22"/>
          <w:szCs w:val="22"/>
        </w:rPr>
        <w:t>Avrahami</w:t>
      </w:r>
      <w:r>
        <w:rPr>
          <w:rFonts w:ascii="Times New Roman" w:hAnsi="Times New Roman" w:cs="Times New Roman"/>
          <w:sz w:val="22"/>
          <w:szCs w:val="22"/>
        </w:rPr>
        <w:t xml:space="preserve"> did not file an appeal to challenge the decision of the Tax Court.</w:t>
      </w:r>
    </w:p>
    <w:p w14:paraId="642DB570" w14:textId="77777777" w:rsidR="00434620" w:rsidRPr="008816E0" w:rsidRDefault="00434620">
      <w:pPr>
        <w:pStyle w:val="EndnoteText"/>
        <w:rPr>
          <w:rFonts w:ascii="Times New Roman" w:hAnsi="Times New Roman" w:cs="Times New Roman"/>
          <w:sz w:val="22"/>
          <w:szCs w:val="22"/>
        </w:rPr>
      </w:pPr>
    </w:p>
  </w:endnote>
  <w:endnote w:id="15">
    <w:p w14:paraId="48967C2D" w14:textId="77777777" w:rsidR="00434620" w:rsidRPr="00AC21D5" w:rsidRDefault="00434620">
      <w:pPr>
        <w:pStyle w:val="EndnoteText"/>
        <w:rPr>
          <w:rFonts w:ascii="Times New Roman" w:hAnsi="Times New Roman" w:cs="Times New Roman"/>
          <w:sz w:val="22"/>
          <w:szCs w:val="22"/>
        </w:rPr>
      </w:pPr>
      <w:r w:rsidRPr="00AC21D5">
        <w:rPr>
          <w:rStyle w:val="EndnoteReference"/>
          <w:rFonts w:ascii="Times New Roman" w:hAnsi="Times New Roman" w:cs="Times New Roman"/>
          <w:sz w:val="22"/>
          <w:szCs w:val="22"/>
        </w:rPr>
        <w:endnoteRef/>
      </w:r>
      <w:r w:rsidRPr="00AC21D5">
        <w:rPr>
          <w:rFonts w:ascii="Times New Roman" w:hAnsi="Times New Roman" w:cs="Times New Roman"/>
          <w:sz w:val="22"/>
          <w:szCs w:val="22"/>
        </w:rPr>
        <w:t xml:space="preserve"> One of the</w:t>
      </w:r>
      <w:r>
        <w:rPr>
          <w:rFonts w:ascii="Times New Roman" w:hAnsi="Times New Roman" w:cs="Times New Roman"/>
          <w:sz w:val="22"/>
          <w:szCs w:val="22"/>
        </w:rPr>
        <w:t xml:space="preserve"> government’s</w:t>
      </w:r>
      <w:r w:rsidRPr="00AC21D5">
        <w:rPr>
          <w:rFonts w:ascii="Times New Roman" w:hAnsi="Times New Roman" w:cs="Times New Roman"/>
          <w:sz w:val="22"/>
          <w:szCs w:val="22"/>
        </w:rPr>
        <w:t xml:space="preserve"> two witnesses merely proved up documents.</w:t>
      </w:r>
    </w:p>
    <w:p w14:paraId="5026B92A" w14:textId="77777777" w:rsidR="00434620" w:rsidRDefault="00434620">
      <w:pPr>
        <w:pStyle w:val="EndnoteText"/>
      </w:pPr>
    </w:p>
  </w:endnote>
  <w:endnote w:id="16">
    <w:p w14:paraId="789A72E5" w14:textId="77777777" w:rsidR="00434620" w:rsidRPr="00E4452A" w:rsidRDefault="00434620" w:rsidP="00CF4DC2">
      <w:pPr>
        <w:pStyle w:val="EndnoteText"/>
        <w:rPr>
          <w:rFonts w:ascii="Times New Roman" w:hAnsi="Times New Roman" w:cs="Times New Roman"/>
          <w:sz w:val="22"/>
          <w:szCs w:val="22"/>
        </w:rPr>
      </w:pPr>
      <w:r w:rsidRPr="00E4452A">
        <w:rPr>
          <w:rStyle w:val="EndnoteReference"/>
          <w:rFonts w:ascii="Times New Roman" w:hAnsi="Times New Roman" w:cs="Times New Roman"/>
          <w:sz w:val="22"/>
          <w:szCs w:val="22"/>
        </w:rPr>
        <w:endnoteRef/>
      </w:r>
      <w:r w:rsidRPr="00E4452A">
        <w:rPr>
          <w:rFonts w:ascii="Times New Roman" w:hAnsi="Times New Roman" w:cs="Times New Roman"/>
          <w:sz w:val="22"/>
          <w:szCs w:val="22"/>
        </w:rPr>
        <w:t xml:space="preserve"> </w:t>
      </w:r>
      <w:r w:rsidRPr="00654304">
        <w:rPr>
          <w:rFonts w:ascii="Times New Roman" w:hAnsi="Times New Roman" w:cs="Times New Roman"/>
          <w:i/>
          <w:sz w:val="22"/>
          <w:szCs w:val="22"/>
        </w:rPr>
        <w:t>See</w:t>
      </w:r>
      <w:r w:rsidRPr="00E4452A">
        <w:rPr>
          <w:rFonts w:ascii="Times New Roman" w:hAnsi="Times New Roman" w:cs="Times New Roman"/>
          <w:sz w:val="22"/>
          <w:szCs w:val="22"/>
        </w:rPr>
        <w:t xml:space="preserve"> </w:t>
      </w:r>
      <w:r w:rsidRPr="00E4452A">
        <w:rPr>
          <w:rFonts w:ascii="Times New Roman" w:hAnsi="Times New Roman" w:cs="Times New Roman"/>
          <w:i/>
          <w:sz w:val="22"/>
          <w:szCs w:val="22"/>
        </w:rPr>
        <w:t>Avrahami</w:t>
      </w:r>
      <w:r w:rsidRPr="00E4452A">
        <w:rPr>
          <w:rFonts w:ascii="Times New Roman" w:hAnsi="Times New Roman" w:cs="Times New Roman"/>
          <w:sz w:val="22"/>
          <w:szCs w:val="22"/>
        </w:rPr>
        <w:t xml:space="preserve"> at pages 66-76</w:t>
      </w:r>
      <w:r>
        <w:rPr>
          <w:rFonts w:ascii="Times New Roman" w:hAnsi="Times New Roman" w:cs="Times New Roman"/>
          <w:sz w:val="22"/>
          <w:szCs w:val="22"/>
        </w:rPr>
        <w:t xml:space="preserve">.  </w:t>
      </w:r>
    </w:p>
    <w:p w14:paraId="5836B7F2" w14:textId="77777777" w:rsidR="00434620" w:rsidRPr="00E4452A" w:rsidRDefault="00434620" w:rsidP="00CF4DC2">
      <w:pPr>
        <w:pStyle w:val="EndnoteText"/>
        <w:rPr>
          <w:rFonts w:ascii="Times New Roman" w:hAnsi="Times New Roman" w:cs="Times New Roman"/>
          <w:sz w:val="22"/>
          <w:szCs w:val="22"/>
        </w:rPr>
      </w:pPr>
    </w:p>
  </w:endnote>
  <w:endnote w:id="17">
    <w:p w14:paraId="463BA963" w14:textId="77777777" w:rsidR="00434620" w:rsidRPr="00E4452A" w:rsidRDefault="00434620" w:rsidP="00CF4DC2">
      <w:pPr>
        <w:pStyle w:val="EndnoteText"/>
        <w:rPr>
          <w:rFonts w:ascii="Times New Roman" w:hAnsi="Times New Roman" w:cs="Times New Roman"/>
          <w:sz w:val="22"/>
          <w:szCs w:val="22"/>
        </w:rPr>
      </w:pPr>
      <w:r w:rsidRPr="00E4452A">
        <w:rPr>
          <w:rStyle w:val="EndnoteReference"/>
          <w:rFonts w:ascii="Times New Roman" w:hAnsi="Times New Roman" w:cs="Times New Roman"/>
          <w:sz w:val="22"/>
          <w:szCs w:val="22"/>
        </w:rPr>
        <w:endnoteRef/>
      </w:r>
      <w:r w:rsidRPr="00E4452A">
        <w:rPr>
          <w:rFonts w:ascii="Times New Roman" w:hAnsi="Times New Roman" w:cs="Times New Roman"/>
          <w:sz w:val="22"/>
          <w:szCs w:val="22"/>
        </w:rPr>
        <w:t xml:space="preserve"> </w:t>
      </w:r>
      <w:r w:rsidRPr="00654304">
        <w:rPr>
          <w:rFonts w:ascii="Times New Roman" w:hAnsi="Times New Roman" w:cs="Times New Roman"/>
          <w:i/>
          <w:sz w:val="22"/>
          <w:szCs w:val="22"/>
        </w:rPr>
        <w:t>See</w:t>
      </w:r>
      <w:r w:rsidRPr="00E4452A">
        <w:rPr>
          <w:rFonts w:ascii="Times New Roman" w:hAnsi="Times New Roman" w:cs="Times New Roman"/>
          <w:sz w:val="22"/>
          <w:szCs w:val="22"/>
        </w:rPr>
        <w:t xml:space="preserve"> </w:t>
      </w:r>
      <w:r w:rsidRPr="00E4452A">
        <w:rPr>
          <w:rFonts w:ascii="Times New Roman" w:hAnsi="Times New Roman" w:cs="Times New Roman"/>
          <w:i/>
          <w:sz w:val="22"/>
          <w:szCs w:val="22"/>
        </w:rPr>
        <w:t>Avrahami</w:t>
      </w:r>
      <w:r w:rsidRPr="00E4452A">
        <w:rPr>
          <w:rFonts w:ascii="Times New Roman" w:hAnsi="Times New Roman" w:cs="Times New Roman"/>
          <w:sz w:val="22"/>
          <w:szCs w:val="22"/>
        </w:rPr>
        <w:t xml:space="preserve"> at pages </w:t>
      </w:r>
      <w:r>
        <w:rPr>
          <w:rFonts w:ascii="Times New Roman" w:hAnsi="Times New Roman" w:cs="Times New Roman"/>
          <w:sz w:val="22"/>
          <w:szCs w:val="22"/>
        </w:rPr>
        <w:t>75</w:t>
      </w:r>
      <w:r w:rsidRPr="00E4452A">
        <w:rPr>
          <w:rFonts w:ascii="Times New Roman" w:hAnsi="Times New Roman" w:cs="Times New Roman"/>
          <w:sz w:val="22"/>
          <w:szCs w:val="22"/>
        </w:rPr>
        <w:t>-76</w:t>
      </w:r>
      <w:r>
        <w:rPr>
          <w:rFonts w:ascii="Times New Roman" w:hAnsi="Times New Roman" w:cs="Times New Roman"/>
          <w:sz w:val="22"/>
          <w:szCs w:val="22"/>
        </w:rPr>
        <w:t xml:space="preserve">.  </w:t>
      </w:r>
    </w:p>
    <w:p w14:paraId="79DE1912" w14:textId="77777777" w:rsidR="00434620" w:rsidRPr="00E4452A" w:rsidRDefault="00434620" w:rsidP="00CF4DC2">
      <w:pPr>
        <w:pStyle w:val="EndnoteText"/>
        <w:rPr>
          <w:rFonts w:ascii="Times New Roman" w:hAnsi="Times New Roman" w:cs="Times New Roman"/>
          <w:sz w:val="22"/>
          <w:szCs w:val="22"/>
        </w:rPr>
      </w:pPr>
    </w:p>
  </w:endnote>
  <w:endnote w:id="18">
    <w:p w14:paraId="5874CD23" w14:textId="77777777" w:rsidR="00434620" w:rsidRPr="00E4452A" w:rsidRDefault="00434620" w:rsidP="00CF4DC2">
      <w:pPr>
        <w:pStyle w:val="EndnoteText"/>
        <w:rPr>
          <w:rFonts w:ascii="Times New Roman" w:hAnsi="Times New Roman" w:cs="Times New Roman"/>
          <w:sz w:val="22"/>
          <w:szCs w:val="22"/>
        </w:rPr>
      </w:pPr>
      <w:r w:rsidRPr="00E4452A">
        <w:rPr>
          <w:rStyle w:val="EndnoteReference"/>
          <w:rFonts w:ascii="Times New Roman" w:hAnsi="Times New Roman" w:cs="Times New Roman"/>
          <w:sz w:val="22"/>
          <w:szCs w:val="22"/>
        </w:rPr>
        <w:endnoteRef/>
      </w:r>
      <w:r w:rsidRPr="00E4452A">
        <w:rPr>
          <w:rFonts w:ascii="Times New Roman" w:hAnsi="Times New Roman" w:cs="Times New Roman"/>
          <w:sz w:val="22"/>
          <w:szCs w:val="22"/>
        </w:rPr>
        <w:t xml:space="preserve"> </w:t>
      </w:r>
      <w:r w:rsidRPr="00654304">
        <w:rPr>
          <w:rFonts w:ascii="Times New Roman" w:hAnsi="Times New Roman" w:cs="Times New Roman"/>
          <w:i/>
          <w:sz w:val="22"/>
          <w:szCs w:val="22"/>
        </w:rPr>
        <w:t>See</w:t>
      </w:r>
      <w:r w:rsidRPr="00E4452A">
        <w:rPr>
          <w:rFonts w:ascii="Times New Roman" w:hAnsi="Times New Roman" w:cs="Times New Roman"/>
          <w:sz w:val="22"/>
          <w:szCs w:val="22"/>
        </w:rPr>
        <w:t xml:space="preserve"> </w:t>
      </w:r>
      <w:r w:rsidRPr="00E4452A">
        <w:rPr>
          <w:rFonts w:ascii="Times New Roman" w:hAnsi="Times New Roman" w:cs="Times New Roman"/>
          <w:i/>
          <w:sz w:val="22"/>
          <w:szCs w:val="22"/>
        </w:rPr>
        <w:t>Reserve</w:t>
      </w:r>
      <w:r w:rsidRPr="00E4452A">
        <w:rPr>
          <w:rFonts w:ascii="Times New Roman" w:hAnsi="Times New Roman" w:cs="Times New Roman"/>
          <w:sz w:val="22"/>
          <w:szCs w:val="22"/>
        </w:rPr>
        <w:t xml:space="preserve"> at pages 38-46.</w:t>
      </w:r>
    </w:p>
    <w:p w14:paraId="13EE8C76" w14:textId="77777777" w:rsidR="00434620" w:rsidRPr="00E4452A" w:rsidRDefault="00434620" w:rsidP="00CF4DC2">
      <w:pPr>
        <w:pStyle w:val="EndnoteText"/>
        <w:rPr>
          <w:rFonts w:ascii="Times New Roman" w:hAnsi="Times New Roman" w:cs="Times New Roman"/>
          <w:sz w:val="22"/>
          <w:szCs w:val="22"/>
        </w:rPr>
      </w:pPr>
    </w:p>
  </w:endnote>
  <w:endnote w:id="19">
    <w:p w14:paraId="418F4F0D" w14:textId="77777777" w:rsidR="00434620" w:rsidRPr="00E4452A" w:rsidRDefault="00434620" w:rsidP="00CF4DC2">
      <w:pPr>
        <w:pStyle w:val="EndnoteText"/>
        <w:rPr>
          <w:rFonts w:ascii="Times New Roman" w:hAnsi="Times New Roman" w:cs="Times New Roman"/>
          <w:sz w:val="22"/>
          <w:szCs w:val="22"/>
        </w:rPr>
      </w:pPr>
      <w:r w:rsidRPr="00E4452A">
        <w:rPr>
          <w:rStyle w:val="EndnoteReference"/>
          <w:rFonts w:ascii="Times New Roman" w:hAnsi="Times New Roman" w:cs="Times New Roman"/>
          <w:sz w:val="22"/>
          <w:szCs w:val="22"/>
        </w:rPr>
        <w:endnoteRef/>
      </w:r>
      <w:r w:rsidRPr="00E4452A">
        <w:rPr>
          <w:rFonts w:ascii="Times New Roman" w:hAnsi="Times New Roman" w:cs="Times New Roman"/>
          <w:sz w:val="22"/>
          <w:szCs w:val="22"/>
        </w:rPr>
        <w:t xml:space="preserve"> </w:t>
      </w:r>
      <w:r w:rsidRPr="00654304">
        <w:rPr>
          <w:rFonts w:ascii="Times New Roman" w:hAnsi="Times New Roman" w:cs="Times New Roman"/>
          <w:i/>
          <w:sz w:val="22"/>
          <w:szCs w:val="22"/>
        </w:rPr>
        <w:t>See</w:t>
      </w:r>
      <w:r w:rsidRPr="00E4452A">
        <w:rPr>
          <w:rFonts w:ascii="Times New Roman" w:hAnsi="Times New Roman" w:cs="Times New Roman"/>
          <w:sz w:val="22"/>
          <w:szCs w:val="22"/>
        </w:rPr>
        <w:t xml:space="preserve"> </w:t>
      </w:r>
      <w:r w:rsidRPr="00E4452A">
        <w:rPr>
          <w:rFonts w:ascii="Times New Roman" w:hAnsi="Times New Roman" w:cs="Times New Roman"/>
          <w:i/>
          <w:sz w:val="22"/>
          <w:szCs w:val="22"/>
        </w:rPr>
        <w:t>Reserve</w:t>
      </w:r>
      <w:r w:rsidRPr="00E4452A">
        <w:rPr>
          <w:rFonts w:ascii="Times New Roman" w:hAnsi="Times New Roman" w:cs="Times New Roman"/>
          <w:sz w:val="22"/>
          <w:szCs w:val="22"/>
        </w:rPr>
        <w:t xml:space="preserve"> at pages </w:t>
      </w:r>
      <w:r>
        <w:rPr>
          <w:rFonts w:ascii="Times New Roman" w:hAnsi="Times New Roman" w:cs="Times New Roman"/>
          <w:sz w:val="22"/>
          <w:szCs w:val="22"/>
        </w:rPr>
        <w:t>45</w:t>
      </w:r>
      <w:r w:rsidRPr="00E4452A">
        <w:rPr>
          <w:rFonts w:ascii="Times New Roman" w:hAnsi="Times New Roman" w:cs="Times New Roman"/>
          <w:sz w:val="22"/>
          <w:szCs w:val="22"/>
        </w:rPr>
        <w:t>-4</w:t>
      </w:r>
      <w:r>
        <w:rPr>
          <w:rFonts w:ascii="Times New Roman" w:hAnsi="Times New Roman" w:cs="Times New Roman"/>
          <w:sz w:val="22"/>
          <w:szCs w:val="22"/>
        </w:rPr>
        <w:t>7</w:t>
      </w:r>
      <w:r w:rsidRPr="00E4452A">
        <w:rPr>
          <w:rFonts w:ascii="Times New Roman" w:hAnsi="Times New Roman" w:cs="Times New Roman"/>
          <w:sz w:val="22"/>
          <w:szCs w:val="22"/>
        </w:rPr>
        <w:t>.</w:t>
      </w:r>
    </w:p>
    <w:p w14:paraId="31D88ACD" w14:textId="77777777" w:rsidR="00434620" w:rsidRPr="00E4452A" w:rsidRDefault="00434620" w:rsidP="00CF4DC2">
      <w:pPr>
        <w:pStyle w:val="EndnoteText"/>
        <w:rPr>
          <w:rFonts w:ascii="Times New Roman" w:hAnsi="Times New Roman" w:cs="Times New Roman"/>
          <w:sz w:val="22"/>
          <w:szCs w:val="22"/>
        </w:rPr>
      </w:pPr>
    </w:p>
  </w:endnote>
  <w:endnote w:id="20">
    <w:p w14:paraId="5B51B596" w14:textId="77777777" w:rsidR="00434620" w:rsidRPr="00F94F23" w:rsidRDefault="00434620" w:rsidP="00CF4DC2">
      <w:pPr>
        <w:pStyle w:val="EndnoteText"/>
        <w:rPr>
          <w:rFonts w:ascii="Times New Roman" w:hAnsi="Times New Roman" w:cs="Times New Roman"/>
          <w:sz w:val="22"/>
          <w:szCs w:val="22"/>
        </w:rPr>
      </w:pPr>
      <w:r w:rsidRPr="00F94F23">
        <w:rPr>
          <w:rStyle w:val="EndnoteReference"/>
          <w:rFonts w:ascii="Times New Roman" w:hAnsi="Times New Roman" w:cs="Times New Roman"/>
          <w:sz w:val="22"/>
          <w:szCs w:val="22"/>
        </w:rPr>
        <w:endnoteRef/>
      </w:r>
      <w:r w:rsidRPr="00F94F23">
        <w:rPr>
          <w:rFonts w:ascii="Times New Roman" w:hAnsi="Times New Roman" w:cs="Times New Roman"/>
          <w:sz w:val="22"/>
          <w:szCs w:val="22"/>
        </w:rPr>
        <w:t xml:space="preserve"> </w:t>
      </w:r>
      <w:r w:rsidRPr="00654304">
        <w:rPr>
          <w:rFonts w:ascii="Times New Roman" w:hAnsi="Times New Roman" w:cs="Times New Roman"/>
          <w:i/>
          <w:sz w:val="22"/>
          <w:szCs w:val="22"/>
        </w:rPr>
        <w:t>See</w:t>
      </w:r>
      <w:r w:rsidRPr="00931CB5">
        <w:rPr>
          <w:rFonts w:ascii="Times New Roman" w:hAnsi="Times New Roman" w:cs="Times New Roman"/>
          <w:sz w:val="22"/>
          <w:szCs w:val="22"/>
        </w:rPr>
        <w:t xml:space="preserve"> </w:t>
      </w:r>
      <w:r w:rsidRPr="00931CB5">
        <w:rPr>
          <w:rFonts w:ascii="Times New Roman" w:hAnsi="Times New Roman" w:cs="Times New Roman"/>
          <w:i/>
          <w:sz w:val="22"/>
          <w:szCs w:val="22"/>
        </w:rPr>
        <w:t>Avrahami</w:t>
      </w:r>
      <w:r w:rsidRPr="00931CB5">
        <w:rPr>
          <w:rFonts w:ascii="Times New Roman" w:hAnsi="Times New Roman" w:cs="Times New Roman"/>
          <w:sz w:val="22"/>
          <w:szCs w:val="22"/>
        </w:rPr>
        <w:t xml:space="preserve"> at pages </w:t>
      </w:r>
      <w:r>
        <w:rPr>
          <w:rFonts w:ascii="Times New Roman" w:hAnsi="Times New Roman" w:cs="Times New Roman"/>
          <w:sz w:val="22"/>
          <w:szCs w:val="22"/>
        </w:rPr>
        <w:t>7</w:t>
      </w:r>
      <w:r w:rsidRPr="00931CB5">
        <w:rPr>
          <w:rFonts w:ascii="Times New Roman" w:hAnsi="Times New Roman" w:cs="Times New Roman"/>
          <w:sz w:val="22"/>
          <w:szCs w:val="22"/>
        </w:rPr>
        <w:t>6-</w:t>
      </w:r>
      <w:r>
        <w:rPr>
          <w:rFonts w:ascii="Times New Roman" w:hAnsi="Times New Roman" w:cs="Times New Roman"/>
          <w:sz w:val="22"/>
          <w:szCs w:val="22"/>
        </w:rPr>
        <w:t xml:space="preserve">86. </w:t>
      </w:r>
    </w:p>
    <w:p w14:paraId="68B01089" w14:textId="77777777" w:rsidR="00434620" w:rsidRPr="00B35B67" w:rsidRDefault="00434620" w:rsidP="00CF4DC2">
      <w:pPr>
        <w:pStyle w:val="EndnoteText"/>
        <w:rPr>
          <w:rFonts w:ascii="Times New Roman" w:hAnsi="Times New Roman" w:cs="Times New Roman"/>
          <w:sz w:val="22"/>
          <w:szCs w:val="22"/>
        </w:rPr>
      </w:pPr>
    </w:p>
  </w:endnote>
  <w:endnote w:id="21">
    <w:p w14:paraId="457737D4" w14:textId="77777777" w:rsidR="00434620" w:rsidRPr="00B35B67" w:rsidRDefault="00434620" w:rsidP="00CF4DC2">
      <w:pPr>
        <w:pStyle w:val="EndnoteText"/>
        <w:rPr>
          <w:rFonts w:ascii="Times New Roman" w:hAnsi="Times New Roman" w:cs="Times New Roman"/>
          <w:sz w:val="22"/>
          <w:szCs w:val="22"/>
        </w:rPr>
      </w:pPr>
      <w:r w:rsidRPr="00B35B67">
        <w:rPr>
          <w:rStyle w:val="EndnoteReference"/>
          <w:rFonts w:ascii="Times New Roman" w:hAnsi="Times New Roman" w:cs="Times New Roman"/>
          <w:sz w:val="22"/>
          <w:szCs w:val="22"/>
        </w:rPr>
        <w:endnoteRef/>
      </w:r>
      <w:r w:rsidRPr="00B35B67">
        <w:rPr>
          <w:rFonts w:ascii="Times New Roman" w:hAnsi="Times New Roman" w:cs="Times New Roman"/>
          <w:sz w:val="22"/>
          <w:szCs w:val="22"/>
        </w:rPr>
        <w:t xml:space="preserve"> </w:t>
      </w:r>
      <w:r w:rsidRPr="00654304">
        <w:rPr>
          <w:rFonts w:ascii="Times New Roman" w:hAnsi="Times New Roman" w:cs="Times New Roman"/>
          <w:i/>
          <w:sz w:val="22"/>
          <w:szCs w:val="22"/>
        </w:rPr>
        <w:t>See</w:t>
      </w:r>
      <w:r w:rsidRPr="00931CB5">
        <w:rPr>
          <w:rFonts w:ascii="Times New Roman" w:hAnsi="Times New Roman" w:cs="Times New Roman"/>
          <w:sz w:val="22"/>
          <w:szCs w:val="22"/>
        </w:rPr>
        <w:t xml:space="preserve"> </w:t>
      </w:r>
      <w:r w:rsidRPr="00931CB5">
        <w:rPr>
          <w:rFonts w:ascii="Times New Roman" w:hAnsi="Times New Roman" w:cs="Times New Roman"/>
          <w:i/>
          <w:sz w:val="22"/>
          <w:szCs w:val="22"/>
        </w:rPr>
        <w:t>Avrahami</w:t>
      </w:r>
      <w:r w:rsidRPr="00931CB5">
        <w:rPr>
          <w:rFonts w:ascii="Times New Roman" w:hAnsi="Times New Roman" w:cs="Times New Roman"/>
          <w:sz w:val="22"/>
          <w:szCs w:val="22"/>
        </w:rPr>
        <w:t xml:space="preserve"> at page</w:t>
      </w:r>
      <w:r>
        <w:rPr>
          <w:rFonts w:ascii="Times New Roman" w:hAnsi="Times New Roman" w:cs="Times New Roman"/>
          <w:sz w:val="22"/>
          <w:szCs w:val="22"/>
        </w:rPr>
        <w:t xml:space="preserve"> 86. </w:t>
      </w:r>
    </w:p>
    <w:p w14:paraId="09A5949D" w14:textId="77777777" w:rsidR="00434620" w:rsidRPr="00B35B67" w:rsidRDefault="00434620" w:rsidP="00CF4DC2">
      <w:pPr>
        <w:pStyle w:val="EndnoteText"/>
        <w:rPr>
          <w:rFonts w:ascii="Times New Roman" w:hAnsi="Times New Roman" w:cs="Times New Roman"/>
          <w:sz w:val="22"/>
          <w:szCs w:val="22"/>
        </w:rPr>
      </w:pPr>
    </w:p>
  </w:endnote>
  <w:endnote w:id="22">
    <w:p w14:paraId="30430149" w14:textId="77777777" w:rsidR="00434620" w:rsidRPr="00B35010" w:rsidRDefault="00434620" w:rsidP="00CF4DC2">
      <w:pPr>
        <w:pStyle w:val="EndnoteText"/>
        <w:rPr>
          <w:rFonts w:ascii="Times New Roman" w:hAnsi="Times New Roman" w:cs="Times New Roman"/>
          <w:sz w:val="22"/>
          <w:szCs w:val="22"/>
        </w:rPr>
      </w:pPr>
      <w:r w:rsidRPr="00F94F23">
        <w:rPr>
          <w:rStyle w:val="EndnoteReference"/>
          <w:rFonts w:ascii="Times New Roman" w:hAnsi="Times New Roman" w:cs="Times New Roman"/>
          <w:sz w:val="22"/>
          <w:szCs w:val="22"/>
        </w:rPr>
        <w:endnoteRef/>
      </w:r>
      <w:r w:rsidRPr="00F94F23">
        <w:rPr>
          <w:rFonts w:ascii="Times New Roman" w:hAnsi="Times New Roman" w:cs="Times New Roman"/>
          <w:sz w:val="22"/>
          <w:szCs w:val="22"/>
        </w:rPr>
        <w:t xml:space="preserve"> </w:t>
      </w:r>
      <w:r w:rsidRPr="00654304">
        <w:rPr>
          <w:rFonts w:ascii="Times New Roman" w:hAnsi="Times New Roman" w:cs="Times New Roman"/>
          <w:i/>
          <w:sz w:val="22"/>
          <w:szCs w:val="22"/>
        </w:rPr>
        <w:t>See</w:t>
      </w:r>
      <w:r w:rsidRPr="00F94F23">
        <w:rPr>
          <w:rFonts w:ascii="Times New Roman" w:hAnsi="Times New Roman" w:cs="Times New Roman"/>
          <w:sz w:val="22"/>
          <w:szCs w:val="22"/>
        </w:rPr>
        <w:t xml:space="preserve"> </w:t>
      </w:r>
      <w:r w:rsidRPr="00B35010">
        <w:rPr>
          <w:rFonts w:ascii="Times New Roman" w:hAnsi="Times New Roman" w:cs="Times New Roman"/>
          <w:i/>
          <w:sz w:val="22"/>
          <w:szCs w:val="22"/>
        </w:rPr>
        <w:t>Reserve</w:t>
      </w:r>
      <w:r w:rsidRPr="00B35010">
        <w:rPr>
          <w:rFonts w:ascii="Times New Roman" w:hAnsi="Times New Roman" w:cs="Times New Roman"/>
          <w:sz w:val="22"/>
          <w:szCs w:val="22"/>
        </w:rPr>
        <w:t xml:space="preserve"> at pages 48-62.</w:t>
      </w:r>
    </w:p>
    <w:p w14:paraId="1595147B" w14:textId="77777777" w:rsidR="00434620" w:rsidRPr="005678D8" w:rsidRDefault="00434620" w:rsidP="00CF4DC2">
      <w:pPr>
        <w:pStyle w:val="EndnoteText"/>
        <w:rPr>
          <w:rFonts w:ascii="Times New Roman" w:hAnsi="Times New Roman" w:cs="Times New Roman"/>
          <w:sz w:val="22"/>
          <w:szCs w:val="22"/>
        </w:rPr>
      </w:pPr>
    </w:p>
  </w:endnote>
  <w:endnote w:id="23">
    <w:p w14:paraId="133F66B0" w14:textId="46381CB1" w:rsidR="00434620" w:rsidRDefault="00434620" w:rsidP="004543CE">
      <w:pPr>
        <w:pStyle w:val="EndnoteText"/>
        <w:rPr>
          <w:rFonts w:ascii="Times New Roman" w:hAnsi="Times New Roman" w:cs="Times New Roman"/>
          <w:sz w:val="22"/>
          <w:szCs w:val="22"/>
        </w:rPr>
      </w:pPr>
      <w:r w:rsidRPr="005678D8">
        <w:rPr>
          <w:rStyle w:val="EndnoteReference"/>
          <w:rFonts w:ascii="Times New Roman" w:hAnsi="Times New Roman" w:cs="Times New Roman"/>
          <w:sz w:val="22"/>
          <w:szCs w:val="22"/>
        </w:rPr>
        <w:endnoteRef/>
      </w:r>
      <w:r w:rsidRPr="005678D8">
        <w:rPr>
          <w:rFonts w:ascii="Times New Roman" w:hAnsi="Times New Roman" w:cs="Times New Roman"/>
          <w:sz w:val="22"/>
          <w:szCs w:val="22"/>
        </w:rPr>
        <w:t xml:space="preserve"> </w:t>
      </w:r>
      <w:r w:rsidRPr="00654304">
        <w:rPr>
          <w:rFonts w:ascii="Times New Roman" w:hAnsi="Times New Roman" w:cs="Times New Roman"/>
          <w:i/>
          <w:sz w:val="22"/>
          <w:szCs w:val="22"/>
        </w:rPr>
        <w:t>See</w:t>
      </w:r>
      <w:r w:rsidRPr="00F94F23">
        <w:rPr>
          <w:rFonts w:ascii="Times New Roman" w:hAnsi="Times New Roman" w:cs="Times New Roman"/>
          <w:sz w:val="22"/>
          <w:szCs w:val="22"/>
        </w:rPr>
        <w:t xml:space="preserve"> </w:t>
      </w:r>
      <w:r w:rsidRPr="00B35010">
        <w:rPr>
          <w:rFonts w:ascii="Times New Roman" w:hAnsi="Times New Roman" w:cs="Times New Roman"/>
          <w:i/>
          <w:sz w:val="22"/>
          <w:szCs w:val="22"/>
        </w:rPr>
        <w:t>Reserve</w:t>
      </w:r>
      <w:r w:rsidRPr="00B35010">
        <w:rPr>
          <w:rFonts w:ascii="Times New Roman" w:hAnsi="Times New Roman" w:cs="Times New Roman"/>
          <w:sz w:val="22"/>
          <w:szCs w:val="22"/>
        </w:rPr>
        <w:t xml:space="preserve"> at page</w:t>
      </w:r>
      <w:r>
        <w:rPr>
          <w:rFonts w:ascii="Times New Roman" w:hAnsi="Times New Roman" w:cs="Times New Roman"/>
          <w:sz w:val="22"/>
          <w:szCs w:val="22"/>
        </w:rPr>
        <w:t>s 51-52, where the Court wrongly concluded that Reserve’s owner could not rely on a professional management team and incorrectly concluded that Reserve’s owner had little knowledge about Reserve’s insurance operations, stating as follows:</w:t>
      </w:r>
    </w:p>
    <w:p w14:paraId="025323AA" w14:textId="77777777" w:rsidR="00434620" w:rsidRDefault="00434620" w:rsidP="004543CE">
      <w:pPr>
        <w:pStyle w:val="EndnoteText"/>
        <w:rPr>
          <w:rFonts w:ascii="Times New Roman" w:hAnsi="Times New Roman" w:cs="Times New Roman"/>
          <w:sz w:val="22"/>
          <w:szCs w:val="22"/>
        </w:rPr>
      </w:pPr>
    </w:p>
    <w:p w14:paraId="4A8BED4D" w14:textId="63ECCF8E" w:rsidR="00434620" w:rsidRDefault="00434620" w:rsidP="007A1FB2">
      <w:pPr>
        <w:pStyle w:val="EndnoteText"/>
        <w:ind w:left="720" w:right="720"/>
        <w:rPr>
          <w:rFonts w:ascii="Times New Roman" w:hAnsi="Times New Roman" w:cs="Times New Roman"/>
          <w:sz w:val="22"/>
          <w:szCs w:val="22"/>
        </w:rPr>
      </w:pPr>
      <w:r>
        <w:rPr>
          <w:rFonts w:ascii="Times New Roman" w:hAnsi="Times New Roman" w:cs="Times New Roman"/>
          <w:sz w:val="22"/>
          <w:szCs w:val="22"/>
        </w:rPr>
        <w:t xml:space="preserve"> </w:t>
      </w:r>
      <w:r w:rsidRPr="004D37E7">
        <w:rPr>
          <w:rFonts w:ascii="Times New Roman" w:hAnsi="Times New Roman" w:cs="Times New Roman"/>
          <w:sz w:val="22"/>
          <w:szCs w:val="22"/>
        </w:rPr>
        <w:t>Capstone managed both Reserve and PoolRe, and they were both parties to</w:t>
      </w:r>
      <w:r>
        <w:rPr>
          <w:rFonts w:ascii="Times New Roman" w:hAnsi="Times New Roman" w:cs="Times New Roman"/>
          <w:sz w:val="22"/>
          <w:szCs w:val="22"/>
        </w:rPr>
        <w:t xml:space="preserve"> </w:t>
      </w:r>
      <w:r w:rsidRPr="004D37E7">
        <w:rPr>
          <w:rFonts w:ascii="Times New Roman" w:hAnsi="Times New Roman" w:cs="Times New Roman"/>
          <w:sz w:val="22"/>
          <w:szCs w:val="22"/>
        </w:rPr>
        <w:t>the quota share policies and the coinsurance contracts. Reserve contends that the</w:t>
      </w:r>
      <w:r>
        <w:rPr>
          <w:rFonts w:ascii="Times New Roman" w:hAnsi="Times New Roman" w:cs="Times New Roman"/>
          <w:sz w:val="22"/>
          <w:szCs w:val="22"/>
        </w:rPr>
        <w:t xml:space="preserve"> </w:t>
      </w:r>
      <w:r w:rsidRPr="004D37E7">
        <w:rPr>
          <w:rFonts w:ascii="Times New Roman" w:hAnsi="Times New Roman" w:cs="Times New Roman"/>
          <w:sz w:val="22"/>
          <w:szCs w:val="22"/>
        </w:rPr>
        <w:t>reinsurance agreements allowed it to distribute risk. However, Reserve did not</w:t>
      </w:r>
      <w:r>
        <w:rPr>
          <w:rFonts w:ascii="Times New Roman" w:hAnsi="Times New Roman" w:cs="Times New Roman"/>
          <w:sz w:val="22"/>
          <w:szCs w:val="22"/>
        </w:rPr>
        <w:t xml:space="preserve"> </w:t>
      </w:r>
      <w:r w:rsidRPr="004D37E7">
        <w:rPr>
          <w:rFonts w:ascii="Times New Roman" w:hAnsi="Times New Roman" w:cs="Times New Roman"/>
          <w:sz w:val="22"/>
          <w:szCs w:val="22"/>
        </w:rPr>
        <w:t xml:space="preserve">show that anyone with a financial </w:t>
      </w:r>
      <w:r w:rsidRPr="007A1FB2">
        <w:rPr>
          <w:rFonts w:ascii="Times New Roman" w:hAnsi="Times New Roman" w:cs="Times New Roman"/>
          <w:sz w:val="22"/>
          <w:szCs w:val="22"/>
        </w:rPr>
        <w:t>interest in its operations considered the details of the quota share policies and the coinsurance contracts and considered whether risk was distributed. Zumbaum did not understand the details of Reserve’s operations and relied upon Capstone's advice. There is no evidence that Reserve engaged in any due diligence to determine whether it was adequately distributing risk.”</w:t>
      </w:r>
    </w:p>
    <w:p w14:paraId="0EE35ADF" w14:textId="77777777" w:rsidR="00434620" w:rsidRPr="005678D8" w:rsidRDefault="00434620" w:rsidP="007A1FB2">
      <w:pPr>
        <w:pStyle w:val="EndnoteText"/>
        <w:ind w:left="720" w:right="720"/>
        <w:rPr>
          <w:rFonts w:ascii="Times New Roman" w:hAnsi="Times New Roman" w:cs="Times New Roman"/>
          <w:sz w:val="22"/>
          <w:szCs w:val="22"/>
        </w:rPr>
      </w:pPr>
    </w:p>
  </w:endnote>
  <w:endnote w:id="24">
    <w:p w14:paraId="751B73D2" w14:textId="7EA89716" w:rsidR="00434620" w:rsidRDefault="00434620" w:rsidP="00DA023E">
      <w:pPr>
        <w:pStyle w:val="EndnoteText"/>
        <w:rPr>
          <w:rFonts w:ascii="Times New Roman" w:hAnsi="Times New Roman" w:cs="Times New Roman"/>
          <w:sz w:val="22"/>
          <w:szCs w:val="22"/>
        </w:rPr>
      </w:pPr>
      <w:r w:rsidRPr="009C55DD">
        <w:rPr>
          <w:rStyle w:val="EndnoteReference"/>
          <w:rFonts w:ascii="Times New Roman" w:hAnsi="Times New Roman" w:cs="Times New Roman"/>
          <w:sz w:val="22"/>
          <w:szCs w:val="22"/>
        </w:rPr>
        <w:endnoteRef/>
      </w:r>
      <w:r w:rsidRPr="009C55DD">
        <w:rPr>
          <w:rFonts w:ascii="Times New Roman" w:hAnsi="Times New Roman" w:cs="Times New Roman"/>
          <w:sz w:val="22"/>
          <w:szCs w:val="22"/>
        </w:rPr>
        <w:t xml:space="preserve"> </w:t>
      </w:r>
      <w:r w:rsidRPr="00654304">
        <w:rPr>
          <w:rFonts w:ascii="Times New Roman" w:hAnsi="Times New Roman" w:cs="Times New Roman"/>
          <w:i/>
          <w:sz w:val="22"/>
          <w:szCs w:val="22"/>
        </w:rPr>
        <w:t>See</w:t>
      </w:r>
      <w:r>
        <w:rPr>
          <w:rFonts w:ascii="Times New Roman" w:hAnsi="Times New Roman" w:cs="Times New Roman"/>
          <w:sz w:val="22"/>
          <w:szCs w:val="22"/>
        </w:rPr>
        <w:t xml:space="preserve"> Bonner, M., “</w:t>
      </w:r>
      <w:r w:rsidRPr="00981697">
        <w:rPr>
          <w:rFonts w:ascii="Times New Roman" w:hAnsi="Times New Roman" w:cs="Times New Roman"/>
          <w:i/>
          <w:sz w:val="22"/>
          <w:szCs w:val="22"/>
        </w:rPr>
        <w:t>Insurance Services Office (ISO)</w:t>
      </w:r>
      <w:r>
        <w:rPr>
          <w:rFonts w:ascii="Times New Roman" w:hAnsi="Times New Roman" w:cs="Times New Roman"/>
          <w:sz w:val="22"/>
          <w:szCs w:val="22"/>
        </w:rPr>
        <w:t>,</w:t>
      </w:r>
      <w:r w:rsidRPr="00981697">
        <w:rPr>
          <w:rFonts w:ascii="Times New Roman" w:hAnsi="Times New Roman" w:cs="Times New Roman"/>
          <w:sz w:val="22"/>
          <w:szCs w:val="22"/>
        </w:rPr>
        <w:t xml:space="preserve">” </w:t>
      </w:r>
      <w:r>
        <w:rPr>
          <w:rFonts w:ascii="Times New Roman" w:hAnsi="Times New Roman" w:cs="Times New Roman"/>
          <w:sz w:val="22"/>
          <w:szCs w:val="22"/>
        </w:rPr>
        <w:t xml:space="preserve">updated September 2, 2018.  This article </w:t>
      </w:r>
      <w:r w:rsidRPr="008940B9">
        <w:rPr>
          <w:rFonts w:ascii="Times New Roman" w:hAnsi="Times New Roman" w:cs="Times New Roman"/>
          <w:sz w:val="22"/>
          <w:szCs w:val="22"/>
        </w:rPr>
        <w:t xml:space="preserve">can be viewed </w:t>
      </w:r>
      <w:hyperlink r:id="rId2" w:history="1">
        <w:r w:rsidRPr="00AA089E">
          <w:rPr>
            <w:rStyle w:val="Hyperlink"/>
            <w:rFonts w:ascii="Times New Roman" w:hAnsi="Times New Roman" w:cs="Times New Roman"/>
            <w:sz w:val="22"/>
            <w:szCs w:val="22"/>
          </w:rPr>
          <w:t>here</w:t>
        </w:r>
      </w:hyperlink>
      <w:r>
        <w:rPr>
          <w:rFonts w:ascii="Times New Roman" w:hAnsi="Times New Roman" w:cs="Times New Roman"/>
          <w:sz w:val="22"/>
          <w:szCs w:val="22"/>
        </w:rPr>
        <w:t xml:space="preserve"> and concludes as follows: “</w:t>
      </w:r>
      <w:r w:rsidRPr="009C55DD">
        <w:rPr>
          <w:rFonts w:ascii="Times New Roman" w:hAnsi="Times New Roman" w:cs="Times New Roman"/>
          <w:sz w:val="22"/>
          <w:szCs w:val="22"/>
        </w:rPr>
        <w:t>The Insurance Services Office</w:t>
      </w:r>
      <w:r>
        <w:rPr>
          <w:rFonts w:ascii="Times New Roman" w:hAnsi="Times New Roman" w:cs="Times New Roman"/>
          <w:sz w:val="22"/>
          <w:szCs w:val="22"/>
        </w:rPr>
        <w:t>, Inc. (</w:t>
      </w:r>
      <w:r w:rsidRPr="009C55DD">
        <w:rPr>
          <w:rFonts w:ascii="Times New Roman" w:hAnsi="Times New Roman" w:cs="Times New Roman"/>
          <w:sz w:val="22"/>
          <w:szCs w:val="22"/>
        </w:rPr>
        <w:t>ISO</w:t>
      </w:r>
      <w:r>
        <w:rPr>
          <w:rFonts w:ascii="Times New Roman" w:hAnsi="Times New Roman" w:cs="Times New Roman"/>
          <w:sz w:val="22"/>
          <w:szCs w:val="22"/>
        </w:rPr>
        <w:t>)</w:t>
      </w:r>
      <w:r w:rsidRPr="009C55DD">
        <w:rPr>
          <w:rFonts w:ascii="Times New Roman" w:hAnsi="Times New Roman" w:cs="Times New Roman"/>
          <w:sz w:val="22"/>
          <w:szCs w:val="22"/>
        </w:rPr>
        <w:t xml:space="preserve"> provides statistical and actuarial information along with advisory services focus</w:t>
      </w:r>
      <w:r>
        <w:rPr>
          <w:rFonts w:ascii="Times New Roman" w:hAnsi="Times New Roman" w:cs="Times New Roman"/>
          <w:sz w:val="22"/>
          <w:szCs w:val="22"/>
        </w:rPr>
        <w:t>ing</w:t>
      </w:r>
      <w:r w:rsidRPr="009C55DD">
        <w:rPr>
          <w:rFonts w:ascii="Times New Roman" w:hAnsi="Times New Roman" w:cs="Times New Roman"/>
          <w:sz w:val="22"/>
          <w:szCs w:val="22"/>
        </w:rPr>
        <w:t xml:space="preserve"> on property/casualty insurance</w:t>
      </w:r>
      <w:r>
        <w:rPr>
          <w:rFonts w:ascii="Times New Roman" w:hAnsi="Times New Roman" w:cs="Times New Roman"/>
          <w:sz w:val="22"/>
          <w:szCs w:val="22"/>
        </w:rPr>
        <w:t>.  Among ISO’s offerings is</w:t>
      </w:r>
      <w:r w:rsidRPr="00DA023E">
        <w:rPr>
          <w:rFonts w:ascii="Times New Roman" w:hAnsi="Times New Roman" w:cs="Times New Roman"/>
          <w:sz w:val="22"/>
          <w:szCs w:val="22"/>
        </w:rPr>
        <w:t xml:space="preserve"> policy writing. Creating new policy forms is a costly, time-consuming task. Insurers can avoid this task by using</w:t>
      </w:r>
      <w:r>
        <w:rPr>
          <w:rFonts w:ascii="Times New Roman" w:hAnsi="Times New Roman" w:cs="Times New Roman"/>
          <w:sz w:val="22"/>
          <w:szCs w:val="22"/>
        </w:rPr>
        <w:t xml:space="preserve"> ISO </w:t>
      </w:r>
      <w:r w:rsidRPr="00DA023E">
        <w:rPr>
          <w:rFonts w:ascii="Times New Roman" w:hAnsi="Times New Roman" w:cs="Times New Roman"/>
          <w:sz w:val="22"/>
          <w:szCs w:val="22"/>
        </w:rPr>
        <w:t>forms. They can also avoid some risks associated with policy writing</w:t>
      </w:r>
      <w:r>
        <w:rPr>
          <w:rFonts w:ascii="Times New Roman" w:hAnsi="Times New Roman" w:cs="Times New Roman"/>
          <w:sz w:val="22"/>
          <w:szCs w:val="22"/>
        </w:rPr>
        <w:t xml:space="preserve"> in that </w:t>
      </w:r>
      <w:r w:rsidRPr="00DA023E">
        <w:rPr>
          <w:rFonts w:ascii="Times New Roman" w:hAnsi="Times New Roman" w:cs="Times New Roman"/>
          <w:sz w:val="22"/>
          <w:szCs w:val="22"/>
        </w:rPr>
        <w:t xml:space="preserve">ISO forms </w:t>
      </w:r>
      <w:r>
        <w:rPr>
          <w:rFonts w:ascii="Times New Roman" w:hAnsi="Times New Roman" w:cs="Times New Roman"/>
          <w:sz w:val="22"/>
          <w:szCs w:val="22"/>
        </w:rPr>
        <w:t xml:space="preserve">have often </w:t>
      </w:r>
      <w:r w:rsidRPr="00DA023E">
        <w:rPr>
          <w:rFonts w:ascii="Times New Roman" w:hAnsi="Times New Roman" w:cs="Times New Roman"/>
          <w:sz w:val="22"/>
          <w:szCs w:val="22"/>
        </w:rPr>
        <w:t>been analyzed by courts.</w:t>
      </w:r>
      <w:r>
        <w:rPr>
          <w:rFonts w:ascii="Times New Roman" w:hAnsi="Times New Roman" w:cs="Times New Roman"/>
          <w:sz w:val="22"/>
          <w:szCs w:val="22"/>
        </w:rPr>
        <w:t xml:space="preserve">  </w:t>
      </w:r>
      <w:r w:rsidRPr="00DA023E">
        <w:rPr>
          <w:rFonts w:ascii="Times New Roman" w:hAnsi="Times New Roman" w:cs="Times New Roman"/>
          <w:sz w:val="22"/>
          <w:szCs w:val="22"/>
        </w:rPr>
        <w:t>Many of ISO</w:t>
      </w:r>
      <w:r>
        <w:rPr>
          <w:rFonts w:ascii="Times New Roman" w:hAnsi="Times New Roman" w:cs="Times New Roman"/>
          <w:sz w:val="22"/>
          <w:szCs w:val="22"/>
        </w:rPr>
        <w:t>’</w:t>
      </w:r>
      <w:r w:rsidRPr="00DA023E">
        <w:rPr>
          <w:rFonts w:ascii="Times New Roman" w:hAnsi="Times New Roman" w:cs="Times New Roman"/>
          <w:sz w:val="22"/>
          <w:szCs w:val="22"/>
        </w:rPr>
        <w:t>s policy forms are used as the industry standard</w:t>
      </w:r>
      <w:r>
        <w:rPr>
          <w:rFonts w:ascii="Times New Roman" w:hAnsi="Times New Roman" w:cs="Times New Roman"/>
          <w:sz w:val="22"/>
          <w:szCs w:val="22"/>
        </w:rPr>
        <w:t xml:space="preserve">, serving as </w:t>
      </w:r>
      <w:r w:rsidRPr="00DA023E">
        <w:rPr>
          <w:rFonts w:ascii="Times New Roman" w:hAnsi="Times New Roman" w:cs="Times New Roman"/>
          <w:sz w:val="22"/>
          <w:szCs w:val="22"/>
        </w:rPr>
        <w:t>benchmarks for analyzing and comparing policies developed by individual insurers. For example, the ISO Commercial General Liability Coverage Form is the industry standard for general liability coverage. Some insurers have developed policy forms that are broader than the ISO form.</w:t>
      </w:r>
      <w:r>
        <w:rPr>
          <w:rFonts w:ascii="Times New Roman" w:hAnsi="Times New Roman" w:cs="Times New Roman"/>
          <w:sz w:val="22"/>
          <w:szCs w:val="22"/>
        </w:rPr>
        <w:t>”</w:t>
      </w:r>
    </w:p>
    <w:p w14:paraId="5D09730F" w14:textId="77777777" w:rsidR="00434620" w:rsidRPr="009C55DD" w:rsidRDefault="00434620" w:rsidP="00DA023E">
      <w:pPr>
        <w:pStyle w:val="EndnoteText"/>
        <w:rPr>
          <w:rFonts w:ascii="Times New Roman" w:hAnsi="Times New Roman" w:cs="Times New Roman"/>
          <w:sz w:val="22"/>
          <w:szCs w:val="22"/>
        </w:rPr>
      </w:pPr>
    </w:p>
  </w:endnote>
  <w:endnote w:id="25">
    <w:p w14:paraId="39372FC2" w14:textId="0843D6BB" w:rsidR="00434620" w:rsidRDefault="00434620" w:rsidP="00CF4DC2">
      <w:pPr>
        <w:pStyle w:val="EndnoteText"/>
        <w:rPr>
          <w:rFonts w:ascii="Times New Roman" w:hAnsi="Times New Roman" w:cs="Times New Roman"/>
          <w:sz w:val="22"/>
          <w:szCs w:val="22"/>
        </w:rPr>
      </w:pPr>
      <w:r w:rsidRPr="00B35010">
        <w:rPr>
          <w:rStyle w:val="EndnoteReference"/>
          <w:rFonts w:ascii="Times New Roman" w:hAnsi="Times New Roman" w:cs="Times New Roman"/>
          <w:sz w:val="22"/>
          <w:szCs w:val="22"/>
        </w:rPr>
        <w:endnoteRef/>
      </w:r>
      <w:r w:rsidRPr="00B35010">
        <w:rPr>
          <w:rFonts w:ascii="Times New Roman" w:hAnsi="Times New Roman" w:cs="Times New Roman"/>
          <w:sz w:val="22"/>
          <w:szCs w:val="22"/>
        </w:rPr>
        <w:t xml:space="preserve"> </w:t>
      </w:r>
      <w:r w:rsidRPr="00654304">
        <w:rPr>
          <w:rFonts w:ascii="Times New Roman" w:hAnsi="Times New Roman" w:cs="Times New Roman"/>
          <w:i/>
          <w:sz w:val="22"/>
          <w:szCs w:val="22"/>
        </w:rPr>
        <w:t>See</w:t>
      </w:r>
      <w:r w:rsidRPr="00B35010">
        <w:rPr>
          <w:rFonts w:ascii="Times New Roman" w:hAnsi="Times New Roman" w:cs="Times New Roman"/>
          <w:sz w:val="22"/>
          <w:szCs w:val="22"/>
        </w:rPr>
        <w:t xml:space="preserve"> </w:t>
      </w:r>
      <w:r w:rsidRPr="00B35010">
        <w:rPr>
          <w:rFonts w:ascii="Times New Roman" w:hAnsi="Times New Roman" w:cs="Times New Roman"/>
          <w:i/>
          <w:sz w:val="22"/>
          <w:szCs w:val="22"/>
        </w:rPr>
        <w:t>Reserve</w:t>
      </w:r>
      <w:r w:rsidRPr="00B35010">
        <w:rPr>
          <w:rFonts w:ascii="Times New Roman" w:hAnsi="Times New Roman" w:cs="Times New Roman"/>
          <w:sz w:val="22"/>
          <w:szCs w:val="22"/>
        </w:rPr>
        <w:t xml:space="preserve"> at page 62.</w:t>
      </w:r>
    </w:p>
    <w:p w14:paraId="2D917517" w14:textId="77777777" w:rsidR="00434620" w:rsidRPr="00B35010" w:rsidRDefault="00434620" w:rsidP="00CF4DC2">
      <w:pPr>
        <w:pStyle w:val="EndnoteText"/>
        <w:rPr>
          <w:rFonts w:ascii="Times New Roman" w:hAnsi="Times New Roman" w:cs="Times New Roman"/>
          <w:sz w:val="22"/>
          <w:szCs w:val="22"/>
        </w:rPr>
      </w:pPr>
    </w:p>
  </w:endnote>
  <w:endnote w:id="26">
    <w:p w14:paraId="152FF1AE" w14:textId="77777777" w:rsidR="00434620" w:rsidRPr="00255FDC" w:rsidRDefault="00434620" w:rsidP="00CF4DC2">
      <w:pPr>
        <w:pStyle w:val="EndnoteText"/>
        <w:rPr>
          <w:rFonts w:ascii="Times New Roman" w:hAnsi="Times New Roman" w:cs="Times New Roman"/>
          <w:sz w:val="22"/>
          <w:szCs w:val="22"/>
        </w:rPr>
      </w:pPr>
      <w:r w:rsidRPr="00255FDC">
        <w:rPr>
          <w:rStyle w:val="EndnoteReference"/>
          <w:rFonts w:ascii="Times New Roman" w:hAnsi="Times New Roman" w:cs="Times New Roman"/>
          <w:sz w:val="22"/>
          <w:szCs w:val="22"/>
        </w:rPr>
        <w:endnoteRef/>
      </w:r>
      <w:r w:rsidRPr="00255FDC">
        <w:rPr>
          <w:rFonts w:ascii="Times New Roman" w:hAnsi="Times New Roman" w:cs="Times New Roman"/>
          <w:sz w:val="22"/>
          <w:szCs w:val="22"/>
        </w:rPr>
        <w:t xml:space="preserve"> </w:t>
      </w:r>
      <w:r w:rsidRPr="00654304">
        <w:rPr>
          <w:rFonts w:ascii="Times New Roman" w:hAnsi="Times New Roman" w:cs="Times New Roman"/>
          <w:i/>
          <w:sz w:val="22"/>
          <w:szCs w:val="22"/>
        </w:rPr>
        <w:t>See</w:t>
      </w:r>
      <w:r w:rsidRPr="00255FDC">
        <w:rPr>
          <w:rFonts w:ascii="Times New Roman" w:hAnsi="Times New Roman" w:cs="Times New Roman"/>
          <w:sz w:val="22"/>
          <w:szCs w:val="22"/>
        </w:rPr>
        <w:t xml:space="preserve"> </w:t>
      </w:r>
      <w:r w:rsidRPr="00255FDC">
        <w:rPr>
          <w:rFonts w:ascii="Times New Roman" w:hAnsi="Times New Roman" w:cs="Times New Roman"/>
          <w:i/>
          <w:sz w:val="22"/>
          <w:szCs w:val="22"/>
        </w:rPr>
        <w:t>Avrahami</w:t>
      </w:r>
      <w:r w:rsidRPr="00255FDC">
        <w:rPr>
          <w:rFonts w:ascii="Times New Roman" w:hAnsi="Times New Roman" w:cs="Times New Roman"/>
          <w:sz w:val="22"/>
          <w:szCs w:val="22"/>
        </w:rPr>
        <w:t xml:space="preserve"> at pages 87-89</w:t>
      </w:r>
      <w:r>
        <w:rPr>
          <w:rFonts w:ascii="Times New Roman" w:hAnsi="Times New Roman" w:cs="Times New Roman"/>
          <w:sz w:val="22"/>
          <w:szCs w:val="22"/>
        </w:rPr>
        <w:t xml:space="preserve">. </w:t>
      </w:r>
    </w:p>
    <w:p w14:paraId="6B576FA2" w14:textId="77777777" w:rsidR="00434620" w:rsidRPr="0046176E" w:rsidRDefault="00434620" w:rsidP="00CF4DC2">
      <w:pPr>
        <w:pStyle w:val="EndnoteText"/>
        <w:rPr>
          <w:rFonts w:ascii="Times New Roman" w:hAnsi="Times New Roman" w:cs="Times New Roman"/>
          <w:sz w:val="22"/>
          <w:szCs w:val="22"/>
        </w:rPr>
      </w:pPr>
    </w:p>
  </w:endnote>
  <w:endnote w:id="27">
    <w:p w14:paraId="14628860" w14:textId="77777777" w:rsidR="00434620" w:rsidRPr="00921A15" w:rsidRDefault="00434620" w:rsidP="00CF4DC2">
      <w:pPr>
        <w:pStyle w:val="EndnoteText"/>
        <w:rPr>
          <w:rFonts w:ascii="Times New Roman" w:hAnsi="Times New Roman" w:cs="Times New Roman"/>
          <w:sz w:val="22"/>
          <w:szCs w:val="22"/>
        </w:rPr>
      </w:pPr>
      <w:r w:rsidRPr="00921A15">
        <w:rPr>
          <w:rStyle w:val="EndnoteReference"/>
          <w:rFonts w:ascii="Times New Roman" w:hAnsi="Times New Roman" w:cs="Times New Roman"/>
          <w:sz w:val="22"/>
          <w:szCs w:val="22"/>
        </w:rPr>
        <w:endnoteRef/>
      </w:r>
      <w:r w:rsidRPr="00921A15">
        <w:rPr>
          <w:rFonts w:ascii="Times New Roman" w:hAnsi="Times New Roman" w:cs="Times New Roman"/>
          <w:sz w:val="22"/>
          <w:szCs w:val="22"/>
        </w:rPr>
        <w:t xml:space="preserve"> </w:t>
      </w:r>
      <w:r w:rsidRPr="00654304">
        <w:rPr>
          <w:rFonts w:ascii="Times New Roman" w:hAnsi="Times New Roman" w:cs="Times New Roman"/>
          <w:i/>
          <w:sz w:val="22"/>
          <w:szCs w:val="22"/>
        </w:rPr>
        <w:t>See</w:t>
      </w:r>
      <w:r w:rsidRPr="00255FDC">
        <w:rPr>
          <w:rFonts w:ascii="Times New Roman" w:hAnsi="Times New Roman" w:cs="Times New Roman"/>
          <w:sz w:val="22"/>
          <w:szCs w:val="22"/>
        </w:rPr>
        <w:t xml:space="preserve"> </w:t>
      </w:r>
      <w:r w:rsidRPr="00255FDC">
        <w:rPr>
          <w:rFonts w:ascii="Times New Roman" w:hAnsi="Times New Roman" w:cs="Times New Roman"/>
          <w:i/>
          <w:sz w:val="22"/>
          <w:szCs w:val="22"/>
        </w:rPr>
        <w:t>Avrahami</w:t>
      </w:r>
      <w:r w:rsidRPr="00255FDC">
        <w:rPr>
          <w:rFonts w:ascii="Times New Roman" w:hAnsi="Times New Roman" w:cs="Times New Roman"/>
          <w:sz w:val="22"/>
          <w:szCs w:val="22"/>
        </w:rPr>
        <w:t xml:space="preserve"> at pages 8</w:t>
      </w:r>
      <w:r>
        <w:rPr>
          <w:rFonts w:ascii="Times New Roman" w:hAnsi="Times New Roman" w:cs="Times New Roman"/>
          <w:sz w:val="22"/>
          <w:szCs w:val="22"/>
        </w:rPr>
        <w:t>8</w:t>
      </w:r>
      <w:r w:rsidRPr="00255FDC">
        <w:rPr>
          <w:rFonts w:ascii="Times New Roman" w:hAnsi="Times New Roman" w:cs="Times New Roman"/>
          <w:sz w:val="22"/>
          <w:szCs w:val="22"/>
        </w:rPr>
        <w:t>-89</w:t>
      </w:r>
      <w:r>
        <w:rPr>
          <w:rFonts w:ascii="Times New Roman" w:hAnsi="Times New Roman" w:cs="Times New Roman"/>
          <w:sz w:val="22"/>
          <w:szCs w:val="22"/>
        </w:rPr>
        <w:t xml:space="preserve">. </w:t>
      </w:r>
    </w:p>
    <w:p w14:paraId="23167B5B" w14:textId="77777777" w:rsidR="00434620" w:rsidRPr="00921A15" w:rsidRDefault="00434620" w:rsidP="00CF4DC2">
      <w:pPr>
        <w:pStyle w:val="EndnoteText"/>
        <w:rPr>
          <w:rFonts w:ascii="Times New Roman" w:hAnsi="Times New Roman" w:cs="Times New Roman"/>
          <w:sz w:val="22"/>
          <w:szCs w:val="22"/>
        </w:rPr>
      </w:pPr>
    </w:p>
  </w:endnote>
  <w:endnote w:id="28">
    <w:p w14:paraId="3087198B" w14:textId="77777777" w:rsidR="00434620" w:rsidRDefault="00434620" w:rsidP="00CF4DC2">
      <w:pPr>
        <w:pStyle w:val="EndnoteText"/>
        <w:rPr>
          <w:rFonts w:ascii="Times New Roman" w:hAnsi="Times New Roman" w:cs="Times New Roman"/>
          <w:sz w:val="22"/>
          <w:szCs w:val="22"/>
        </w:rPr>
      </w:pPr>
      <w:r w:rsidRPr="00255FDC">
        <w:rPr>
          <w:rStyle w:val="EndnoteReference"/>
          <w:rFonts w:ascii="Times New Roman" w:hAnsi="Times New Roman" w:cs="Times New Roman"/>
          <w:sz w:val="22"/>
          <w:szCs w:val="22"/>
        </w:rPr>
        <w:endnoteRef/>
      </w:r>
      <w:r w:rsidRPr="00255FDC">
        <w:rPr>
          <w:rFonts w:ascii="Times New Roman" w:hAnsi="Times New Roman" w:cs="Times New Roman"/>
          <w:sz w:val="22"/>
          <w:szCs w:val="22"/>
        </w:rPr>
        <w:t xml:space="preserve"> </w:t>
      </w:r>
      <w:r w:rsidRPr="00654304">
        <w:rPr>
          <w:rFonts w:ascii="Times New Roman" w:hAnsi="Times New Roman" w:cs="Times New Roman"/>
          <w:i/>
          <w:sz w:val="22"/>
          <w:szCs w:val="22"/>
        </w:rPr>
        <w:t>See</w:t>
      </w:r>
      <w:r w:rsidRPr="00F94F23">
        <w:rPr>
          <w:rFonts w:ascii="Times New Roman" w:hAnsi="Times New Roman" w:cs="Times New Roman"/>
          <w:sz w:val="22"/>
          <w:szCs w:val="22"/>
        </w:rPr>
        <w:t xml:space="preserve"> </w:t>
      </w:r>
      <w:r w:rsidRPr="00F94F23">
        <w:rPr>
          <w:rFonts w:ascii="Times New Roman" w:hAnsi="Times New Roman" w:cs="Times New Roman"/>
          <w:i/>
          <w:sz w:val="22"/>
          <w:szCs w:val="22"/>
        </w:rPr>
        <w:t>Reserve</w:t>
      </w:r>
      <w:r w:rsidRPr="00F94F23">
        <w:rPr>
          <w:rFonts w:ascii="Times New Roman" w:hAnsi="Times New Roman" w:cs="Times New Roman"/>
          <w:sz w:val="22"/>
          <w:szCs w:val="22"/>
        </w:rPr>
        <w:t xml:space="preserve"> at pages </w:t>
      </w:r>
      <w:r>
        <w:rPr>
          <w:rFonts w:ascii="Times New Roman" w:hAnsi="Times New Roman" w:cs="Times New Roman"/>
          <w:sz w:val="22"/>
          <w:szCs w:val="22"/>
        </w:rPr>
        <w:t>62</w:t>
      </w:r>
      <w:r w:rsidRPr="00F94F23">
        <w:rPr>
          <w:rFonts w:ascii="Times New Roman" w:hAnsi="Times New Roman" w:cs="Times New Roman"/>
          <w:sz w:val="22"/>
          <w:szCs w:val="22"/>
        </w:rPr>
        <w:t>-6</w:t>
      </w:r>
      <w:r>
        <w:rPr>
          <w:rFonts w:ascii="Times New Roman" w:hAnsi="Times New Roman" w:cs="Times New Roman"/>
          <w:sz w:val="22"/>
          <w:szCs w:val="22"/>
        </w:rPr>
        <w:t>6</w:t>
      </w:r>
      <w:r w:rsidRPr="00F94F23">
        <w:rPr>
          <w:rFonts w:ascii="Times New Roman" w:hAnsi="Times New Roman" w:cs="Times New Roman"/>
          <w:sz w:val="22"/>
          <w:szCs w:val="22"/>
        </w:rPr>
        <w:t>.</w:t>
      </w:r>
    </w:p>
    <w:p w14:paraId="49EBA7E9" w14:textId="77777777" w:rsidR="00434620" w:rsidRPr="00CF0D43" w:rsidRDefault="00434620" w:rsidP="00CF4DC2">
      <w:pPr>
        <w:pStyle w:val="EndnoteText"/>
        <w:rPr>
          <w:rFonts w:ascii="Times New Roman" w:hAnsi="Times New Roman" w:cs="Times New Roman"/>
          <w:sz w:val="22"/>
          <w:szCs w:val="22"/>
        </w:rPr>
      </w:pPr>
    </w:p>
  </w:endnote>
  <w:endnote w:id="29">
    <w:p w14:paraId="70957B3F" w14:textId="05A0E20F" w:rsidR="00434620" w:rsidRDefault="00434620" w:rsidP="00CF4DC2">
      <w:pPr>
        <w:pStyle w:val="EndnoteText"/>
        <w:rPr>
          <w:rFonts w:ascii="Times New Roman" w:hAnsi="Times New Roman" w:cs="Times New Roman"/>
          <w:sz w:val="22"/>
          <w:szCs w:val="22"/>
        </w:rPr>
      </w:pPr>
      <w:r w:rsidRPr="00B851D1">
        <w:rPr>
          <w:rStyle w:val="EndnoteReference"/>
          <w:rFonts w:ascii="Times New Roman" w:hAnsi="Times New Roman" w:cs="Times New Roman"/>
          <w:sz w:val="22"/>
          <w:szCs w:val="22"/>
        </w:rPr>
        <w:endnoteRef/>
      </w:r>
      <w:r w:rsidRPr="00B851D1">
        <w:rPr>
          <w:rFonts w:ascii="Times New Roman" w:hAnsi="Times New Roman" w:cs="Times New Roman"/>
          <w:sz w:val="22"/>
          <w:szCs w:val="22"/>
        </w:rPr>
        <w:t xml:space="preserve"> </w:t>
      </w:r>
      <w:r w:rsidRPr="00654304">
        <w:rPr>
          <w:rFonts w:ascii="Times New Roman" w:hAnsi="Times New Roman" w:cs="Times New Roman"/>
          <w:i/>
          <w:sz w:val="22"/>
          <w:szCs w:val="22"/>
        </w:rPr>
        <w:t>See</w:t>
      </w:r>
      <w:r w:rsidRPr="00255FDC">
        <w:rPr>
          <w:rFonts w:ascii="Times New Roman" w:hAnsi="Times New Roman" w:cs="Times New Roman"/>
          <w:sz w:val="22"/>
          <w:szCs w:val="22"/>
        </w:rPr>
        <w:t xml:space="preserve"> </w:t>
      </w:r>
      <w:r w:rsidRPr="00255FDC">
        <w:rPr>
          <w:rFonts w:ascii="Times New Roman" w:hAnsi="Times New Roman" w:cs="Times New Roman"/>
          <w:i/>
          <w:sz w:val="22"/>
          <w:szCs w:val="22"/>
        </w:rPr>
        <w:t>Avrahami</w:t>
      </w:r>
      <w:r w:rsidRPr="00255FDC">
        <w:rPr>
          <w:rFonts w:ascii="Times New Roman" w:hAnsi="Times New Roman" w:cs="Times New Roman"/>
          <w:sz w:val="22"/>
          <w:szCs w:val="22"/>
        </w:rPr>
        <w:t xml:space="preserve"> at page 89</w:t>
      </w:r>
      <w:r>
        <w:rPr>
          <w:rFonts w:ascii="Times New Roman" w:hAnsi="Times New Roman" w:cs="Times New Roman"/>
          <w:sz w:val="22"/>
          <w:szCs w:val="22"/>
        </w:rPr>
        <w:t>.</w:t>
      </w:r>
    </w:p>
    <w:p w14:paraId="080CFB2C" w14:textId="77777777" w:rsidR="00434620" w:rsidRPr="00B851D1" w:rsidRDefault="00434620" w:rsidP="00CF4DC2">
      <w:pPr>
        <w:pStyle w:val="EndnoteText"/>
        <w:rPr>
          <w:rFonts w:ascii="Times New Roman" w:hAnsi="Times New Roman" w:cs="Times New Roman"/>
          <w:sz w:val="22"/>
          <w:szCs w:val="22"/>
        </w:rPr>
      </w:pPr>
    </w:p>
  </w:endnote>
  <w:endnote w:id="30">
    <w:p w14:paraId="31A6056A" w14:textId="77777777" w:rsidR="00434620" w:rsidRPr="0028497F" w:rsidRDefault="00434620" w:rsidP="0028497F">
      <w:pPr>
        <w:pStyle w:val="EndnoteText"/>
        <w:rPr>
          <w:rFonts w:ascii="Times New Roman" w:hAnsi="Times New Roman" w:cs="Times New Roman"/>
          <w:sz w:val="22"/>
          <w:szCs w:val="22"/>
        </w:rPr>
      </w:pPr>
      <w:r w:rsidRPr="00061095">
        <w:rPr>
          <w:rStyle w:val="EndnoteReference"/>
          <w:rFonts w:ascii="Times New Roman" w:hAnsi="Times New Roman" w:cs="Times New Roman"/>
          <w:sz w:val="22"/>
          <w:szCs w:val="22"/>
        </w:rPr>
        <w:endnoteRef/>
      </w:r>
      <w:r>
        <w:rPr>
          <w:rFonts w:ascii="Times New Roman" w:hAnsi="Times New Roman" w:cs="Times New Roman"/>
          <w:sz w:val="22"/>
          <w:szCs w:val="22"/>
        </w:rPr>
        <w:t xml:space="preserve"> </w:t>
      </w:r>
      <w:r w:rsidRPr="00654304">
        <w:rPr>
          <w:rFonts w:ascii="Times New Roman" w:hAnsi="Times New Roman" w:cs="Times New Roman"/>
          <w:i/>
          <w:sz w:val="22"/>
          <w:szCs w:val="22"/>
        </w:rPr>
        <w:t>See</w:t>
      </w:r>
      <w:r>
        <w:rPr>
          <w:rFonts w:ascii="Times New Roman" w:hAnsi="Times New Roman" w:cs="Times New Roman"/>
          <w:sz w:val="22"/>
          <w:szCs w:val="22"/>
        </w:rPr>
        <w:t xml:space="preserve"> </w:t>
      </w:r>
      <w:r w:rsidRPr="007075CB">
        <w:rPr>
          <w:rFonts w:ascii="Times New Roman" w:hAnsi="Times New Roman" w:cs="Times New Roman"/>
          <w:sz w:val="22"/>
          <w:szCs w:val="22"/>
        </w:rPr>
        <w:t xml:space="preserve">Robert Shulman, </w:t>
      </w:r>
      <w:r w:rsidRPr="007075CB">
        <w:rPr>
          <w:rFonts w:ascii="Times New Roman" w:hAnsi="Times New Roman" w:cs="Times New Roman"/>
          <w:i/>
          <w:sz w:val="22"/>
          <w:szCs w:val="22"/>
        </w:rPr>
        <w:t>Reinsurance: A Primer for the Practitioner</w:t>
      </w:r>
      <w:r w:rsidRPr="007075CB">
        <w:rPr>
          <w:rFonts w:ascii="Times New Roman" w:hAnsi="Times New Roman" w:cs="Times New Roman"/>
          <w:sz w:val="22"/>
          <w:szCs w:val="22"/>
        </w:rPr>
        <w:t>, 3 L.A. Law. 34 (1980)</w:t>
      </w:r>
      <w:r>
        <w:rPr>
          <w:rFonts w:ascii="Times New Roman" w:hAnsi="Times New Roman" w:cs="Times New Roman"/>
          <w:sz w:val="22"/>
          <w:szCs w:val="22"/>
        </w:rPr>
        <w:t>.  Shulman explains a “reinsurance pool” as follows: “</w:t>
      </w:r>
      <w:r w:rsidRPr="0028497F">
        <w:rPr>
          <w:rFonts w:ascii="Times New Roman" w:hAnsi="Times New Roman" w:cs="Times New Roman"/>
          <w:sz w:val="22"/>
          <w:szCs w:val="22"/>
        </w:rPr>
        <w:t>Often, when multiple insurers agree to</w:t>
      </w:r>
      <w:r>
        <w:rPr>
          <w:rFonts w:ascii="Times New Roman" w:hAnsi="Times New Roman" w:cs="Times New Roman"/>
          <w:sz w:val="22"/>
          <w:szCs w:val="22"/>
        </w:rPr>
        <w:t xml:space="preserve"> </w:t>
      </w:r>
      <w:r w:rsidRPr="0028497F">
        <w:rPr>
          <w:rFonts w:ascii="Times New Roman" w:hAnsi="Times New Roman" w:cs="Times New Roman"/>
          <w:sz w:val="22"/>
          <w:szCs w:val="22"/>
        </w:rPr>
        <w:t>reinsure</w:t>
      </w:r>
      <w:r>
        <w:rPr>
          <w:rFonts w:ascii="Times New Roman" w:hAnsi="Times New Roman" w:cs="Times New Roman"/>
          <w:sz w:val="22"/>
          <w:szCs w:val="22"/>
        </w:rPr>
        <w:t>,</w:t>
      </w:r>
      <w:r w:rsidRPr="0028497F">
        <w:rPr>
          <w:rFonts w:ascii="Times New Roman" w:hAnsi="Times New Roman" w:cs="Times New Roman"/>
          <w:sz w:val="22"/>
          <w:szCs w:val="22"/>
        </w:rPr>
        <w:t xml:space="preserve"> they do so by means of a</w:t>
      </w:r>
      <w:r>
        <w:rPr>
          <w:rFonts w:ascii="Times New Roman" w:hAnsi="Times New Roman" w:cs="Times New Roman"/>
          <w:sz w:val="22"/>
          <w:szCs w:val="22"/>
        </w:rPr>
        <w:t xml:space="preserve"> ‘</w:t>
      </w:r>
      <w:r w:rsidRPr="0028497F">
        <w:rPr>
          <w:rFonts w:ascii="Times New Roman" w:hAnsi="Times New Roman" w:cs="Times New Roman"/>
          <w:sz w:val="22"/>
          <w:szCs w:val="22"/>
        </w:rPr>
        <w:t>pooling</w:t>
      </w:r>
      <w:r>
        <w:rPr>
          <w:rFonts w:ascii="Times New Roman" w:hAnsi="Times New Roman" w:cs="Times New Roman"/>
          <w:sz w:val="22"/>
          <w:szCs w:val="22"/>
        </w:rPr>
        <w:t>’</w:t>
      </w:r>
      <w:r w:rsidRPr="0028497F">
        <w:rPr>
          <w:rFonts w:ascii="Times New Roman" w:hAnsi="Times New Roman" w:cs="Times New Roman"/>
          <w:sz w:val="22"/>
          <w:szCs w:val="22"/>
        </w:rPr>
        <w:t xml:space="preserve"> arrangement. John Appleman,</w:t>
      </w:r>
      <w:r>
        <w:rPr>
          <w:rFonts w:ascii="Times New Roman" w:hAnsi="Times New Roman" w:cs="Times New Roman"/>
          <w:sz w:val="22"/>
          <w:szCs w:val="22"/>
        </w:rPr>
        <w:t xml:space="preserve"> </w:t>
      </w:r>
      <w:r w:rsidRPr="0028497F">
        <w:rPr>
          <w:rFonts w:ascii="Times New Roman" w:hAnsi="Times New Roman" w:cs="Times New Roman"/>
          <w:sz w:val="22"/>
          <w:szCs w:val="22"/>
        </w:rPr>
        <w:t>a leading authority on the law of</w:t>
      </w:r>
      <w:r>
        <w:rPr>
          <w:rFonts w:ascii="Times New Roman" w:hAnsi="Times New Roman" w:cs="Times New Roman"/>
          <w:sz w:val="22"/>
          <w:szCs w:val="22"/>
        </w:rPr>
        <w:t xml:space="preserve"> </w:t>
      </w:r>
      <w:r w:rsidRPr="0028497F">
        <w:rPr>
          <w:rFonts w:ascii="Times New Roman" w:hAnsi="Times New Roman" w:cs="Times New Roman"/>
          <w:sz w:val="22"/>
          <w:szCs w:val="22"/>
        </w:rPr>
        <w:t>insurance, has</w:t>
      </w:r>
      <w:r>
        <w:rPr>
          <w:rFonts w:ascii="Times New Roman" w:hAnsi="Times New Roman" w:cs="Times New Roman"/>
          <w:sz w:val="22"/>
          <w:szCs w:val="22"/>
        </w:rPr>
        <w:t xml:space="preserve"> </w:t>
      </w:r>
      <w:r w:rsidRPr="0028497F">
        <w:rPr>
          <w:rFonts w:ascii="Times New Roman" w:hAnsi="Times New Roman" w:cs="Times New Roman"/>
          <w:sz w:val="22"/>
          <w:szCs w:val="22"/>
        </w:rPr>
        <w:t xml:space="preserve">written that </w:t>
      </w:r>
      <w:r>
        <w:rPr>
          <w:rFonts w:ascii="Times New Roman" w:hAnsi="Times New Roman" w:cs="Times New Roman"/>
          <w:sz w:val="22"/>
          <w:szCs w:val="22"/>
        </w:rPr>
        <w:t>‘</w:t>
      </w:r>
      <w:r w:rsidRPr="0028497F">
        <w:rPr>
          <w:rFonts w:ascii="Times New Roman" w:hAnsi="Times New Roman" w:cs="Times New Roman"/>
          <w:sz w:val="22"/>
          <w:szCs w:val="22"/>
        </w:rPr>
        <w:t>an insurance</w:t>
      </w:r>
      <w:r>
        <w:rPr>
          <w:rFonts w:ascii="Times New Roman" w:hAnsi="Times New Roman" w:cs="Times New Roman"/>
          <w:sz w:val="22"/>
          <w:szCs w:val="22"/>
        </w:rPr>
        <w:t xml:space="preserve"> </w:t>
      </w:r>
      <w:r w:rsidRPr="0028497F">
        <w:rPr>
          <w:rFonts w:ascii="Times New Roman" w:hAnsi="Times New Roman" w:cs="Times New Roman"/>
          <w:sz w:val="22"/>
          <w:szCs w:val="22"/>
        </w:rPr>
        <w:t>pool is a device used to spread the</w:t>
      </w:r>
      <w:r>
        <w:rPr>
          <w:rFonts w:ascii="Times New Roman" w:hAnsi="Times New Roman" w:cs="Times New Roman"/>
          <w:sz w:val="22"/>
          <w:szCs w:val="22"/>
        </w:rPr>
        <w:t xml:space="preserve"> </w:t>
      </w:r>
      <w:r w:rsidRPr="0028497F">
        <w:rPr>
          <w:rFonts w:ascii="Times New Roman" w:hAnsi="Times New Roman" w:cs="Times New Roman"/>
          <w:sz w:val="22"/>
          <w:szCs w:val="22"/>
        </w:rPr>
        <w:t>risk of almost certain loss among numerous</w:t>
      </w:r>
      <w:r>
        <w:rPr>
          <w:rFonts w:ascii="Times New Roman" w:hAnsi="Times New Roman" w:cs="Times New Roman"/>
          <w:sz w:val="22"/>
          <w:szCs w:val="22"/>
        </w:rPr>
        <w:t xml:space="preserve"> </w:t>
      </w:r>
      <w:r w:rsidRPr="0028497F">
        <w:rPr>
          <w:rFonts w:ascii="Times New Roman" w:hAnsi="Times New Roman" w:cs="Times New Roman"/>
          <w:sz w:val="22"/>
          <w:szCs w:val="22"/>
        </w:rPr>
        <w:t>insurers willing to accept the</w:t>
      </w:r>
      <w:r>
        <w:rPr>
          <w:rFonts w:ascii="Times New Roman" w:hAnsi="Times New Roman" w:cs="Times New Roman"/>
          <w:sz w:val="22"/>
          <w:szCs w:val="22"/>
        </w:rPr>
        <w:t xml:space="preserve"> </w:t>
      </w:r>
      <w:r w:rsidRPr="0028497F">
        <w:rPr>
          <w:rFonts w:ascii="Times New Roman" w:hAnsi="Times New Roman" w:cs="Times New Roman"/>
          <w:sz w:val="22"/>
          <w:szCs w:val="22"/>
        </w:rPr>
        <w:t>risk in limited amounts.</w:t>
      </w:r>
      <w:r>
        <w:rPr>
          <w:rFonts w:ascii="Times New Roman" w:hAnsi="Times New Roman" w:cs="Times New Roman"/>
          <w:sz w:val="22"/>
          <w:szCs w:val="22"/>
        </w:rPr>
        <w:t xml:space="preserve">’ </w:t>
      </w:r>
      <w:r w:rsidRPr="0028497F">
        <w:rPr>
          <w:rFonts w:ascii="Times New Roman" w:hAnsi="Times New Roman" w:cs="Times New Roman"/>
          <w:sz w:val="22"/>
          <w:szCs w:val="22"/>
        </w:rPr>
        <w:t xml:space="preserve">Those </w:t>
      </w:r>
      <w:r>
        <w:rPr>
          <w:rFonts w:ascii="Times New Roman" w:hAnsi="Times New Roman" w:cs="Times New Roman"/>
          <w:sz w:val="22"/>
          <w:szCs w:val="22"/>
        </w:rPr>
        <w:t>‘</w:t>
      </w:r>
      <w:r w:rsidRPr="0028497F">
        <w:rPr>
          <w:rFonts w:ascii="Times New Roman" w:hAnsi="Times New Roman" w:cs="Times New Roman"/>
          <w:sz w:val="22"/>
          <w:szCs w:val="22"/>
        </w:rPr>
        <w:t>limited</w:t>
      </w:r>
      <w:r>
        <w:rPr>
          <w:rFonts w:ascii="Times New Roman" w:hAnsi="Times New Roman" w:cs="Times New Roman"/>
          <w:sz w:val="22"/>
          <w:szCs w:val="22"/>
        </w:rPr>
        <w:t xml:space="preserve"> </w:t>
      </w:r>
      <w:r w:rsidRPr="0028497F">
        <w:rPr>
          <w:rFonts w:ascii="Times New Roman" w:hAnsi="Times New Roman" w:cs="Times New Roman"/>
          <w:sz w:val="22"/>
          <w:szCs w:val="22"/>
        </w:rPr>
        <w:t>amounts</w:t>
      </w:r>
      <w:r>
        <w:rPr>
          <w:rFonts w:ascii="Times New Roman" w:hAnsi="Times New Roman" w:cs="Times New Roman"/>
          <w:sz w:val="22"/>
          <w:szCs w:val="22"/>
        </w:rPr>
        <w:t>’</w:t>
      </w:r>
      <w:r w:rsidRPr="0028497F">
        <w:rPr>
          <w:rFonts w:ascii="Times New Roman" w:hAnsi="Times New Roman" w:cs="Times New Roman"/>
          <w:sz w:val="22"/>
          <w:szCs w:val="22"/>
        </w:rPr>
        <w:t xml:space="preserve"> may be equal. For example,</w:t>
      </w:r>
      <w:r>
        <w:rPr>
          <w:rFonts w:ascii="Times New Roman" w:hAnsi="Times New Roman" w:cs="Times New Roman"/>
          <w:sz w:val="22"/>
          <w:szCs w:val="22"/>
        </w:rPr>
        <w:t xml:space="preserve"> </w:t>
      </w:r>
      <w:r w:rsidRPr="0028497F">
        <w:rPr>
          <w:rFonts w:ascii="Times New Roman" w:hAnsi="Times New Roman" w:cs="Times New Roman"/>
          <w:sz w:val="22"/>
          <w:szCs w:val="22"/>
        </w:rPr>
        <w:t>50 reinsurers each may take a two</w:t>
      </w:r>
      <w:r>
        <w:rPr>
          <w:rFonts w:ascii="Times New Roman" w:hAnsi="Times New Roman" w:cs="Times New Roman"/>
          <w:sz w:val="22"/>
          <w:szCs w:val="22"/>
        </w:rPr>
        <w:t xml:space="preserve"> </w:t>
      </w:r>
      <w:r w:rsidRPr="0028497F">
        <w:rPr>
          <w:rFonts w:ascii="Times New Roman" w:hAnsi="Times New Roman" w:cs="Times New Roman"/>
          <w:sz w:val="22"/>
          <w:szCs w:val="22"/>
        </w:rPr>
        <w:t>percent portion of a part of a risk covered</w:t>
      </w:r>
      <w:r>
        <w:rPr>
          <w:rFonts w:ascii="Times New Roman" w:hAnsi="Times New Roman" w:cs="Times New Roman"/>
          <w:sz w:val="22"/>
          <w:szCs w:val="22"/>
        </w:rPr>
        <w:t xml:space="preserve"> </w:t>
      </w:r>
      <w:r w:rsidRPr="0028497F">
        <w:rPr>
          <w:rFonts w:ascii="Times New Roman" w:hAnsi="Times New Roman" w:cs="Times New Roman"/>
          <w:sz w:val="22"/>
          <w:szCs w:val="22"/>
        </w:rPr>
        <w:t>by reinsurance, with the balance</w:t>
      </w:r>
      <w:r>
        <w:rPr>
          <w:rFonts w:ascii="Times New Roman" w:hAnsi="Times New Roman" w:cs="Times New Roman"/>
          <w:sz w:val="22"/>
          <w:szCs w:val="22"/>
        </w:rPr>
        <w:t xml:space="preserve"> </w:t>
      </w:r>
      <w:r w:rsidRPr="0028497F">
        <w:rPr>
          <w:rFonts w:ascii="Times New Roman" w:hAnsi="Times New Roman" w:cs="Times New Roman"/>
          <w:sz w:val="22"/>
          <w:szCs w:val="22"/>
        </w:rPr>
        <w:t>retained by the ceding company. Conversely,</w:t>
      </w:r>
      <w:r>
        <w:rPr>
          <w:rFonts w:ascii="Times New Roman" w:hAnsi="Times New Roman" w:cs="Times New Roman"/>
          <w:sz w:val="22"/>
          <w:szCs w:val="22"/>
        </w:rPr>
        <w:t xml:space="preserve"> </w:t>
      </w:r>
      <w:r w:rsidRPr="0028497F">
        <w:rPr>
          <w:rFonts w:ascii="Times New Roman" w:hAnsi="Times New Roman" w:cs="Times New Roman"/>
          <w:sz w:val="22"/>
          <w:szCs w:val="22"/>
        </w:rPr>
        <w:t xml:space="preserve">as </w:t>
      </w:r>
      <w:r>
        <w:rPr>
          <w:rFonts w:ascii="Times New Roman" w:hAnsi="Times New Roman" w:cs="Times New Roman"/>
          <w:sz w:val="22"/>
          <w:szCs w:val="22"/>
        </w:rPr>
        <w:t>‘</w:t>
      </w:r>
      <w:r w:rsidRPr="0028497F">
        <w:rPr>
          <w:rFonts w:ascii="Times New Roman" w:hAnsi="Times New Roman" w:cs="Times New Roman"/>
          <w:sz w:val="22"/>
          <w:szCs w:val="22"/>
        </w:rPr>
        <w:t>quota share</w:t>
      </w:r>
      <w:r>
        <w:rPr>
          <w:rFonts w:ascii="Times New Roman" w:hAnsi="Times New Roman" w:cs="Times New Roman"/>
          <w:sz w:val="22"/>
          <w:szCs w:val="22"/>
        </w:rPr>
        <w:t>’</w:t>
      </w:r>
      <w:r w:rsidRPr="0028497F">
        <w:rPr>
          <w:rFonts w:ascii="Times New Roman" w:hAnsi="Times New Roman" w:cs="Times New Roman"/>
          <w:sz w:val="22"/>
          <w:szCs w:val="22"/>
        </w:rPr>
        <w:t xml:space="preserve"> reinsurers, the</w:t>
      </w:r>
      <w:r>
        <w:rPr>
          <w:rFonts w:ascii="Times New Roman" w:hAnsi="Times New Roman" w:cs="Times New Roman"/>
          <w:sz w:val="22"/>
          <w:szCs w:val="22"/>
        </w:rPr>
        <w:t xml:space="preserve"> </w:t>
      </w:r>
      <w:r w:rsidRPr="0028497F">
        <w:rPr>
          <w:rFonts w:ascii="Times New Roman" w:hAnsi="Times New Roman" w:cs="Times New Roman"/>
          <w:sz w:val="22"/>
          <w:szCs w:val="22"/>
        </w:rPr>
        <w:t>pool members may accept such varying</w:t>
      </w:r>
      <w:r>
        <w:rPr>
          <w:rFonts w:ascii="Times New Roman" w:hAnsi="Times New Roman" w:cs="Times New Roman"/>
          <w:sz w:val="22"/>
          <w:szCs w:val="22"/>
        </w:rPr>
        <w:t xml:space="preserve"> </w:t>
      </w:r>
      <w:r w:rsidRPr="0028497F">
        <w:rPr>
          <w:rFonts w:ascii="Times New Roman" w:hAnsi="Times New Roman" w:cs="Times New Roman"/>
          <w:sz w:val="22"/>
          <w:szCs w:val="22"/>
        </w:rPr>
        <w:t>percentages of the reinsurance as they</w:t>
      </w:r>
      <w:r>
        <w:rPr>
          <w:rFonts w:ascii="Times New Roman" w:hAnsi="Times New Roman" w:cs="Times New Roman"/>
          <w:sz w:val="22"/>
          <w:szCs w:val="22"/>
        </w:rPr>
        <w:t xml:space="preserve"> </w:t>
      </w:r>
      <w:r w:rsidRPr="0028497F">
        <w:rPr>
          <w:rFonts w:ascii="Times New Roman" w:hAnsi="Times New Roman" w:cs="Times New Roman"/>
          <w:sz w:val="22"/>
          <w:szCs w:val="22"/>
        </w:rPr>
        <w:t>determine to be in their best interests.</w:t>
      </w:r>
      <w:r>
        <w:rPr>
          <w:rFonts w:ascii="Times New Roman" w:hAnsi="Times New Roman" w:cs="Times New Roman"/>
          <w:sz w:val="22"/>
          <w:szCs w:val="22"/>
        </w:rPr>
        <w:t xml:space="preserve"> </w:t>
      </w:r>
      <w:r w:rsidRPr="0028497F">
        <w:rPr>
          <w:rFonts w:ascii="Times New Roman" w:hAnsi="Times New Roman" w:cs="Times New Roman"/>
          <w:sz w:val="22"/>
          <w:szCs w:val="22"/>
        </w:rPr>
        <w:t>If the pool was constituted as an unincorporated</w:t>
      </w:r>
      <w:r>
        <w:rPr>
          <w:rFonts w:ascii="Times New Roman" w:hAnsi="Times New Roman" w:cs="Times New Roman"/>
          <w:sz w:val="22"/>
          <w:szCs w:val="22"/>
        </w:rPr>
        <w:t xml:space="preserve"> </w:t>
      </w:r>
      <w:r w:rsidRPr="0028497F">
        <w:rPr>
          <w:rFonts w:ascii="Times New Roman" w:hAnsi="Times New Roman" w:cs="Times New Roman"/>
          <w:sz w:val="22"/>
          <w:szCs w:val="22"/>
        </w:rPr>
        <w:t>association or other juridical</w:t>
      </w:r>
      <w:r>
        <w:rPr>
          <w:rFonts w:ascii="Times New Roman" w:hAnsi="Times New Roman" w:cs="Times New Roman"/>
          <w:sz w:val="22"/>
          <w:szCs w:val="22"/>
        </w:rPr>
        <w:t xml:space="preserve"> </w:t>
      </w:r>
      <w:r w:rsidRPr="0028497F">
        <w:rPr>
          <w:rFonts w:ascii="Times New Roman" w:hAnsi="Times New Roman" w:cs="Times New Roman"/>
          <w:sz w:val="22"/>
          <w:szCs w:val="22"/>
        </w:rPr>
        <w:t>entity and was itself a party to the</w:t>
      </w:r>
      <w:r>
        <w:rPr>
          <w:rFonts w:ascii="Times New Roman" w:hAnsi="Times New Roman" w:cs="Times New Roman"/>
          <w:sz w:val="22"/>
          <w:szCs w:val="22"/>
        </w:rPr>
        <w:t xml:space="preserve"> </w:t>
      </w:r>
      <w:r w:rsidRPr="0028497F">
        <w:rPr>
          <w:rFonts w:ascii="Times New Roman" w:hAnsi="Times New Roman" w:cs="Times New Roman"/>
          <w:sz w:val="22"/>
          <w:szCs w:val="22"/>
        </w:rPr>
        <w:t>reinsurance agreement,</w:t>
      </w:r>
      <w:r>
        <w:rPr>
          <w:rFonts w:ascii="Times New Roman" w:hAnsi="Times New Roman" w:cs="Times New Roman"/>
          <w:sz w:val="22"/>
          <w:szCs w:val="22"/>
        </w:rPr>
        <w:t xml:space="preserve"> </w:t>
      </w:r>
      <w:r w:rsidRPr="0028497F">
        <w:rPr>
          <w:rFonts w:ascii="Times New Roman" w:hAnsi="Times New Roman" w:cs="Times New Roman"/>
          <w:sz w:val="22"/>
          <w:szCs w:val="22"/>
        </w:rPr>
        <w:t>the pool itself</w:t>
      </w:r>
      <w:r>
        <w:rPr>
          <w:rFonts w:ascii="Times New Roman" w:hAnsi="Times New Roman" w:cs="Times New Roman"/>
          <w:sz w:val="22"/>
          <w:szCs w:val="22"/>
        </w:rPr>
        <w:t xml:space="preserve"> </w:t>
      </w:r>
      <w:r w:rsidRPr="0028497F">
        <w:rPr>
          <w:rFonts w:ascii="Times New Roman" w:hAnsi="Times New Roman" w:cs="Times New Roman"/>
          <w:sz w:val="22"/>
          <w:szCs w:val="22"/>
        </w:rPr>
        <w:t>may sue or be sued by the ceding company</w:t>
      </w:r>
    </w:p>
    <w:p w14:paraId="492A9224" w14:textId="77777777" w:rsidR="00434620" w:rsidRDefault="00434620" w:rsidP="0028497F">
      <w:pPr>
        <w:pStyle w:val="EndnoteText"/>
        <w:rPr>
          <w:rFonts w:ascii="Times New Roman" w:hAnsi="Times New Roman" w:cs="Times New Roman"/>
          <w:sz w:val="22"/>
          <w:szCs w:val="22"/>
        </w:rPr>
      </w:pPr>
      <w:r w:rsidRPr="0028497F">
        <w:rPr>
          <w:rFonts w:ascii="Times New Roman" w:hAnsi="Times New Roman" w:cs="Times New Roman"/>
          <w:sz w:val="22"/>
          <w:szCs w:val="22"/>
        </w:rPr>
        <w:t>for the reinsurance proceeds. Alternatively,</w:t>
      </w:r>
      <w:r>
        <w:rPr>
          <w:rFonts w:ascii="Times New Roman" w:hAnsi="Times New Roman" w:cs="Times New Roman"/>
          <w:sz w:val="22"/>
          <w:szCs w:val="22"/>
        </w:rPr>
        <w:t xml:space="preserve"> </w:t>
      </w:r>
      <w:r w:rsidRPr="0028497F">
        <w:rPr>
          <w:rFonts w:ascii="Times New Roman" w:hAnsi="Times New Roman" w:cs="Times New Roman"/>
          <w:sz w:val="22"/>
          <w:szCs w:val="22"/>
        </w:rPr>
        <w:t>any or all of the pool members</w:t>
      </w:r>
      <w:r>
        <w:rPr>
          <w:rFonts w:ascii="Times New Roman" w:hAnsi="Times New Roman" w:cs="Times New Roman"/>
          <w:sz w:val="22"/>
          <w:szCs w:val="22"/>
        </w:rPr>
        <w:t xml:space="preserve"> </w:t>
      </w:r>
      <w:r w:rsidRPr="0028497F">
        <w:rPr>
          <w:rFonts w:ascii="Times New Roman" w:hAnsi="Times New Roman" w:cs="Times New Roman"/>
          <w:sz w:val="22"/>
          <w:szCs w:val="22"/>
        </w:rPr>
        <w:t>may be liable for the pool</w:t>
      </w:r>
      <w:r>
        <w:rPr>
          <w:rFonts w:ascii="Times New Roman" w:hAnsi="Times New Roman" w:cs="Times New Roman"/>
          <w:sz w:val="22"/>
          <w:szCs w:val="22"/>
        </w:rPr>
        <w:t>’</w:t>
      </w:r>
      <w:r w:rsidRPr="0028497F">
        <w:rPr>
          <w:rFonts w:ascii="Times New Roman" w:hAnsi="Times New Roman" w:cs="Times New Roman"/>
          <w:sz w:val="22"/>
          <w:szCs w:val="22"/>
        </w:rPr>
        <w:t>s obligations,</w:t>
      </w:r>
      <w:r>
        <w:rPr>
          <w:rFonts w:ascii="Times New Roman" w:hAnsi="Times New Roman" w:cs="Times New Roman"/>
          <w:sz w:val="22"/>
          <w:szCs w:val="22"/>
        </w:rPr>
        <w:t xml:space="preserve"> </w:t>
      </w:r>
      <w:r w:rsidRPr="0028497F">
        <w:rPr>
          <w:rFonts w:ascii="Times New Roman" w:hAnsi="Times New Roman" w:cs="Times New Roman"/>
          <w:sz w:val="22"/>
          <w:szCs w:val="22"/>
        </w:rPr>
        <w:t xml:space="preserve">although their liability </w:t>
      </w:r>
      <w:r w:rsidRPr="0072787D">
        <w:rPr>
          <w:rFonts w:ascii="Times New Roman" w:hAnsi="Times New Roman" w:cs="Times New Roman"/>
          <w:i/>
          <w:sz w:val="22"/>
          <w:szCs w:val="22"/>
        </w:rPr>
        <w:t>inter se</w:t>
      </w:r>
      <w:r>
        <w:rPr>
          <w:rFonts w:ascii="Times New Roman" w:hAnsi="Times New Roman" w:cs="Times New Roman"/>
          <w:sz w:val="22"/>
          <w:szCs w:val="22"/>
        </w:rPr>
        <w:t xml:space="preserve"> </w:t>
      </w:r>
      <w:r w:rsidRPr="0028497F">
        <w:rPr>
          <w:rFonts w:ascii="Times New Roman" w:hAnsi="Times New Roman" w:cs="Times New Roman"/>
          <w:sz w:val="22"/>
          <w:szCs w:val="22"/>
        </w:rPr>
        <w:t>would be limited to a percentage of liability</w:t>
      </w:r>
      <w:r>
        <w:rPr>
          <w:rFonts w:ascii="Times New Roman" w:hAnsi="Times New Roman" w:cs="Times New Roman"/>
          <w:sz w:val="22"/>
          <w:szCs w:val="22"/>
        </w:rPr>
        <w:t xml:space="preserve"> </w:t>
      </w:r>
      <w:r w:rsidRPr="0028497F">
        <w:rPr>
          <w:rFonts w:ascii="Times New Roman" w:hAnsi="Times New Roman" w:cs="Times New Roman"/>
          <w:sz w:val="22"/>
          <w:szCs w:val="22"/>
        </w:rPr>
        <w:t>equal to the percentage of their</w:t>
      </w:r>
      <w:r>
        <w:rPr>
          <w:rFonts w:ascii="Times New Roman" w:hAnsi="Times New Roman" w:cs="Times New Roman"/>
          <w:sz w:val="22"/>
          <w:szCs w:val="22"/>
        </w:rPr>
        <w:t xml:space="preserve"> </w:t>
      </w:r>
      <w:r w:rsidRPr="0028497F">
        <w:rPr>
          <w:rFonts w:ascii="Times New Roman" w:hAnsi="Times New Roman" w:cs="Times New Roman"/>
          <w:sz w:val="22"/>
          <w:szCs w:val="22"/>
        </w:rPr>
        <w:t>participation, quota share or otherwise,</w:t>
      </w:r>
      <w:r>
        <w:rPr>
          <w:rFonts w:ascii="Times New Roman" w:hAnsi="Times New Roman" w:cs="Times New Roman"/>
          <w:sz w:val="22"/>
          <w:szCs w:val="22"/>
        </w:rPr>
        <w:t xml:space="preserve"> </w:t>
      </w:r>
      <w:r w:rsidRPr="0028497F">
        <w:rPr>
          <w:rFonts w:ascii="Times New Roman" w:hAnsi="Times New Roman" w:cs="Times New Roman"/>
          <w:sz w:val="22"/>
          <w:szCs w:val="22"/>
        </w:rPr>
        <w:t>in the reinsurance.</w:t>
      </w:r>
      <w:r>
        <w:rPr>
          <w:rFonts w:ascii="Times New Roman" w:hAnsi="Times New Roman" w:cs="Times New Roman"/>
          <w:sz w:val="22"/>
          <w:szCs w:val="22"/>
        </w:rPr>
        <w:t>”</w:t>
      </w:r>
    </w:p>
    <w:p w14:paraId="013558BB" w14:textId="77777777" w:rsidR="00434620" w:rsidRDefault="00434620" w:rsidP="00D25157">
      <w:pPr>
        <w:pStyle w:val="EndnoteText"/>
        <w:rPr>
          <w:rFonts w:ascii="Times New Roman" w:hAnsi="Times New Roman" w:cs="Times New Roman"/>
          <w:sz w:val="22"/>
          <w:szCs w:val="22"/>
        </w:rPr>
      </w:pPr>
    </w:p>
    <w:p w14:paraId="7699B5C1" w14:textId="77777777" w:rsidR="00434620" w:rsidRPr="00061095" w:rsidRDefault="00434620" w:rsidP="00D25157">
      <w:pPr>
        <w:pStyle w:val="EndnoteText"/>
        <w:rPr>
          <w:rFonts w:ascii="Times New Roman" w:hAnsi="Times New Roman" w:cs="Times New Roman"/>
          <w:sz w:val="22"/>
          <w:szCs w:val="22"/>
        </w:rPr>
      </w:pPr>
      <w:r w:rsidRPr="00654304">
        <w:rPr>
          <w:rFonts w:ascii="Times New Roman" w:hAnsi="Times New Roman" w:cs="Times New Roman"/>
          <w:i/>
          <w:sz w:val="22"/>
          <w:szCs w:val="22"/>
        </w:rPr>
        <w:t>See</w:t>
      </w:r>
      <w:r w:rsidRPr="005E1EDD">
        <w:rPr>
          <w:rFonts w:ascii="Times New Roman" w:hAnsi="Times New Roman" w:cs="Times New Roman"/>
          <w:i/>
          <w:sz w:val="22"/>
          <w:szCs w:val="22"/>
        </w:rPr>
        <w:t xml:space="preserve"> also</w:t>
      </w:r>
      <w:r>
        <w:rPr>
          <w:rFonts w:ascii="Times New Roman" w:hAnsi="Times New Roman" w:cs="Times New Roman"/>
          <w:sz w:val="22"/>
          <w:szCs w:val="22"/>
        </w:rPr>
        <w:t xml:space="preserve"> </w:t>
      </w:r>
      <w:r w:rsidRPr="00172D36">
        <w:rPr>
          <w:rFonts w:ascii="Times New Roman" w:hAnsi="Times New Roman" w:cs="Times New Roman"/>
          <w:sz w:val="22"/>
          <w:szCs w:val="22"/>
        </w:rPr>
        <w:t xml:space="preserve">Hans Buhlmann &amp; William Jewell, </w:t>
      </w:r>
      <w:r w:rsidRPr="001D2537">
        <w:rPr>
          <w:rFonts w:ascii="Times New Roman" w:hAnsi="Times New Roman" w:cs="Times New Roman"/>
          <w:i/>
          <w:sz w:val="22"/>
          <w:szCs w:val="22"/>
        </w:rPr>
        <w:t>Optimal Risk Exchanges</w:t>
      </w:r>
      <w:r w:rsidRPr="00172D36">
        <w:rPr>
          <w:rFonts w:ascii="Times New Roman" w:hAnsi="Times New Roman" w:cs="Times New Roman"/>
          <w:sz w:val="22"/>
          <w:szCs w:val="22"/>
        </w:rPr>
        <w:t>, 10 Astin Bull. 243, 245 (1979).</w:t>
      </w:r>
      <w:r w:rsidRPr="00061095">
        <w:rPr>
          <w:rFonts w:ascii="Times New Roman" w:hAnsi="Times New Roman" w:cs="Times New Roman"/>
          <w:sz w:val="22"/>
          <w:szCs w:val="22"/>
        </w:rPr>
        <w:t xml:space="preserve"> </w:t>
      </w:r>
      <w:r>
        <w:rPr>
          <w:rFonts w:ascii="Times New Roman" w:hAnsi="Times New Roman" w:cs="Times New Roman"/>
          <w:sz w:val="22"/>
          <w:szCs w:val="22"/>
        </w:rPr>
        <w:t xml:space="preserve"> </w:t>
      </w:r>
      <w:r w:rsidRPr="00FF1F19">
        <w:rPr>
          <w:rFonts w:ascii="Times New Roman" w:hAnsi="Times New Roman" w:cs="Times New Roman"/>
          <w:sz w:val="22"/>
          <w:szCs w:val="22"/>
        </w:rPr>
        <w:t>Hans Buhlmann defines risk pooling as follows:</w:t>
      </w:r>
      <w:r>
        <w:rPr>
          <w:rFonts w:ascii="Times New Roman" w:hAnsi="Times New Roman" w:cs="Times New Roman"/>
          <w:sz w:val="22"/>
          <w:szCs w:val="22"/>
        </w:rPr>
        <w:t xml:space="preserve"> “</w:t>
      </w:r>
      <w:r w:rsidRPr="00FF1F19">
        <w:rPr>
          <w:rFonts w:ascii="Times New Roman" w:hAnsi="Times New Roman" w:cs="Times New Roman"/>
          <w:sz w:val="22"/>
          <w:szCs w:val="22"/>
        </w:rPr>
        <w:t>[A]ny</w:t>
      </w:r>
      <w:r>
        <w:rPr>
          <w:rFonts w:ascii="Times New Roman" w:hAnsi="Times New Roman" w:cs="Times New Roman"/>
          <w:sz w:val="22"/>
          <w:szCs w:val="22"/>
        </w:rPr>
        <w:t xml:space="preserve"> </w:t>
      </w:r>
      <w:r w:rsidRPr="00FF1F19">
        <w:rPr>
          <w:rFonts w:ascii="Times New Roman" w:hAnsi="Times New Roman" w:cs="Times New Roman"/>
          <w:sz w:val="22"/>
          <w:szCs w:val="22"/>
        </w:rPr>
        <w:t xml:space="preserve">formal mutual agreement among the </w:t>
      </w:r>
      <w:r>
        <w:rPr>
          <w:rFonts w:ascii="Times New Roman" w:hAnsi="Times New Roman" w:cs="Times New Roman"/>
          <w:sz w:val="22"/>
          <w:szCs w:val="22"/>
        </w:rPr>
        <w:t>‘</w:t>
      </w:r>
      <w:r w:rsidRPr="00F7484C">
        <w:rPr>
          <w:rFonts w:ascii="Times New Roman" w:hAnsi="Times New Roman" w:cs="Times New Roman"/>
          <w:i/>
          <w:sz w:val="22"/>
          <w:szCs w:val="22"/>
        </w:rPr>
        <w:t>n</w:t>
      </w:r>
      <w:r>
        <w:rPr>
          <w:rFonts w:ascii="Times New Roman" w:hAnsi="Times New Roman" w:cs="Times New Roman"/>
          <w:i/>
          <w:sz w:val="22"/>
          <w:szCs w:val="22"/>
        </w:rPr>
        <w:t>’</w:t>
      </w:r>
      <w:r w:rsidRPr="00F7484C">
        <w:rPr>
          <w:rFonts w:ascii="Times New Roman" w:hAnsi="Times New Roman" w:cs="Times New Roman"/>
          <w:sz w:val="22"/>
          <w:szCs w:val="22"/>
        </w:rPr>
        <w:t xml:space="preserve"> c</w:t>
      </w:r>
      <w:r w:rsidRPr="00FF1F19">
        <w:rPr>
          <w:rFonts w:ascii="Times New Roman" w:hAnsi="Times New Roman" w:cs="Times New Roman"/>
          <w:sz w:val="22"/>
          <w:szCs w:val="22"/>
        </w:rPr>
        <w:t>ompanies</w:t>
      </w:r>
      <w:r>
        <w:rPr>
          <w:rFonts w:ascii="Times New Roman" w:hAnsi="Times New Roman" w:cs="Times New Roman"/>
          <w:sz w:val="22"/>
          <w:szCs w:val="22"/>
        </w:rPr>
        <w:t xml:space="preserve"> </w:t>
      </w:r>
      <w:r w:rsidRPr="00FF1F19">
        <w:rPr>
          <w:rFonts w:ascii="Times New Roman" w:hAnsi="Times New Roman" w:cs="Times New Roman"/>
          <w:sz w:val="22"/>
          <w:szCs w:val="22"/>
        </w:rPr>
        <w:t>that, operating as an entity,</w:t>
      </w:r>
      <w:r>
        <w:rPr>
          <w:rFonts w:ascii="Times New Roman" w:hAnsi="Times New Roman" w:cs="Times New Roman"/>
          <w:sz w:val="22"/>
          <w:szCs w:val="22"/>
        </w:rPr>
        <w:t xml:space="preserve"> (1) </w:t>
      </w:r>
      <w:r w:rsidRPr="00FF1F19">
        <w:rPr>
          <w:rFonts w:ascii="Times New Roman" w:hAnsi="Times New Roman" w:cs="Times New Roman"/>
          <w:sz w:val="22"/>
          <w:szCs w:val="22"/>
        </w:rPr>
        <w:t>accepts the</w:t>
      </w:r>
      <w:r>
        <w:rPr>
          <w:rFonts w:ascii="Times New Roman" w:hAnsi="Times New Roman" w:cs="Times New Roman"/>
          <w:sz w:val="22"/>
          <w:szCs w:val="22"/>
        </w:rPr>
        <w:t xml:space="preserve"> re</w:t>
      </w:r>
      <w:r w:rsidRPr="00FF1F19">
        <w:rPr>
          <w:rFonts w:ascii="Times New Roman" w:hAnsi="Times New Roman" w:cs="Times New Roman"/>
          <w:sz w:val="22"/>
          <w:szCs w:val="22"/>
        </w:rPr>
        <w:t>sponsibility</w:t>
      </w:r>
      <w:r>
        <w:rPr>
          <w:rFonts w:ascii="Times New Roman" w:hAnsi="Times New Roman" w:cs="Times New Roman"/>
          <w:sz w:val="22"/>
          <w:szCs w:val="22"/>
        </w:rPr>
        <w:t xml:space="preserve"> </w:t>
      </w:r>
      <w:r w:rsidRPr="00FF1F19">
        <w:rPr>
          <w:rFonts w:ascii="Times New Roman" w:hAnsi="Times New Roman" w:cs="Times New Roman"/>
          <w:sz w:val="22"/>
          <w:szCs w:val="22"/>
        </w:rPr>
        <w:t>for paying for an input</w:t>
      </w:r>
      <w:r>
        <w:rPr>
          <w:rFonts w:ascii="Times New Roman" w:hAnsi="Times New Roman" w:cs="Times New Roman"/>
          <w:sz w:val="22"/>
          <w:szCs w:val="22"/>
        </w:rPr>
        <w:t xml:space="preserve">; </w:t>
      </w:r>
      <w:r w:rsidRPr="00FF1F19">
        <w:rPr>
          <w:rFonts w:ascii="Times New Roman" w:hAnsi="Times New Roman" w:cs="Times New Roman"/>
          <w:sz w:val="22"/>
          <w:szCs w:val="22"/>
        </w:rPr>
        <w:t>(2) charges</w:t>
      </w:r>
      <w:r>
        <w:rPr>
          <w:rFonts w:ascii="Times New Roman" w:hAnsi="Times New Roman" w:cs="Times New Roman"/>
          <w:sz w:val="22"/>
          <w:szCs w:val="22"/>
        </w:rPr>
        <w:t xml:space="preserve"> </w:t>
      </w:r>
      <w:r w:rsidRPr="00FF1F19">
        <w:rPr>
          <w:rFonts w:ascii="Times New Roman" w:hAnsi="Times New Roman" w:cs="Times New Roman"/>
          <w:sz w:val="22"/>
          <w:szCs w:val="22"/>
        </w:rPr>
        <w:t>[companies] an outpu</w:t>
      </w:r>
      <w:r>
        <w:rPr>
          <w:rFonts w:ascii="Times New Roman" w:hAnsi="Times New Roman" w:cs="Times New Roman"/>
          <w:sz w:val="22"/>
          <w:szCs w:val="22"/>
        </w:rPr>
        <w:t xml:space="preserve">t </w:t>
      </w:r>
      <w:r w:rsidRPr="00FF1F19">
        <w:rPr>
          <w:rFonts w:ascii="Times New Roman" w:hAnsi="Times New Roman" w:cs="Times New Roman"/>
          <w:sz w:val="22"/>
          <w:szCs w:val="22"/>
        </w:rPr>
        <w:t>for accepting the input,</w:t>
      </w:r>
      <w:r>
        <w:rPr>
          <w:rFonts w:ascii="Times New Roman" w:hAnsi="Times New Roman" w:cs="Times New Roman"/>
          <w:sz w:val="22"/>
          <w:szCs w:val="22"/>
        </w:rPr>
        <w:t xml:space="preserve"> </w:t>
      </w:r>
      <w:r w:rsidRPr="00FF1F19">
        <w:rPr>
          <w:rFonts w:ascii="Times New Roman" w:hAnsi="Times New Roman" w:cs="Times New Roman"/>
          <w:sz w:val="22"/>
          <w:szCs w:val="22"/>
        </w:rPr>
        <w:t>according to the agreed-upon rule for sharing risks;</w:t>
      </w:r>
      <w:r>
        <w:rPr>
          <w:rFonts w:ascii="Times New Roman" w:hAnsi="Times New Roman" w:cs="Times New Roman"/>
          <w:sz w:val="22"/>
          <w:szCs w:val="22"/>
        </w:rPr>
        <w:t xml:space="preserve"> and </w:t>
      </w:r>
      <w:r w:rsidRPr="00FF1F19">
        <w:rPr>
          <w:rFonts w:ascii="Times New Roman" w:hAnsi="Times New Roman" w:cs="Times New Roman"/>
          <w:sz w:val="22"/>
          <w:szCs w:val="22"/>
        </w:rPr>
        <w:t>(3) operates on a zero-balance conservation principl</w:t>
      </w:r>
      <w:r>
        <w:rPr>
          <w:rFonts w:ascii="Times New Roman" w:hAnsi="Times New Roman" w:cs="Times New Roman"/>
          <w:sz w:val="22"/>
          <w:szCs w:val="22"/>
        </w:rPr>
        <w:t xml:space="preserve">e.”  </w:t>
      </w:r>
      <w:r w:rsidRPr="00746730">
        <w:rPr>
          <w:rFonts w:ascii="Times New Roman" w:hAnsi="Times New Roman" w:cs="Times New Roman"/>
          <w:sz w:val="22"/>
          <w:szCs w:val="22"/>
        </w:rPr>
        <w:t>Buhlmann and Jewell explore general forms of exchange that result in simultaneous improvement of risk for all parties</w:t>
      </w:r>
      <w:r>
        <w:rPr>
          <w:rFonts w:ascii="Times New Roman" w:hAnsi="Times New Roman" w:cs="Times New Roman"/>
          <w:sz w:val="22"/>
          <w:szCs w:val="22"/>
        </w:rPr>
        <w:t xml:space="preserve"> and describe</w:t>
      </w:r>
      <w:r w:rsidRPr="00D25157">
        <w:rPr>
          <w:rFonts w:ascii="Times New Roman" w:hAnsi="Times New Roman" w:cs="Times New Roman"/>
          <w:sz w:val="22"/>
          <w:szCs w:val="22"/>
        </w:rPr>
        <w:t xml:space="preserve"> various</w:t>
      </w:r>
      <w:r>
        <w:rPr>
          <w:rFonts w:ascii="Times New Roman" w:hAnsi="Times New Roman" w:cs="Times New Roman"/>
          <w:sz w:val="22"/>
          <w:szCs w:val="22"/>
        </w:rPr>
        <w:t xml:space="preserve"> </w:t>
      </w:r>
      <w:r w:rsidRPr="00D25157">
        <w:rPr>
          <w:rFonts w:ascii="Times New Roman" w:hAnsi="Times New Roman" w:cs="Times New Roman"/>
          <w:sz w:val="22"/>
          <w:szCs w:val="22"/>
        </w:rPr>
        <w:t>circumstances in which</w:t>
      </w:r>
      <w:r>
        <w:rPr>
          <w:rFonts w:ascii="Times New Roman" w:hAnsi="Times New Roman" w:cs="Times New Roman"/>
          <w:sz w:val="22"/>
          <w:szCs w:val="22"/>
        </w:rPr>
        <w:t xml:space="preserve"> </w:t>
      </w:r>
      <w:r w:rsidRPr="00D25157">
        <w:rPr>
          <w:rFonts w:ascii="Times New Roman" w:hAnsi="Times New Roman" w:cs="Times New Roman"/>
          <w:sz w:val="22"/>
          <w:szCs w:val="22"/>
        </w:rPr>
        <w:t>risk pooling</w:t>
      </w:r>
      <w:r>
        <w:rPr>
          <w:rFonts w:ascii="Times New Roman" w:hAnsi="Times New Roman" w:cs="Times New Roman"/>
          <w:sz w:val="22"/>
          <w:szCs w:val="22"/>
        </w:rPr>
        <w:t xml:space="preserve"> </w:t>
      </w:r>
      <w:r w:rsidRPr="00D25157">
        <w:rPr>
          <w:rFonts w:ascii="Times New Roman" w:hAnsi="Times New Roman" w:cs="Times New Roman"/>
          <w:sz w:val="22"/>
          <w:szCs w:val="22"/>
        </w:rPr>
        <w:t>might be beneficial for participants and for society relative to</w:t>
      </w:r>
      <w:r>
        <w:rPr>
          <w:rFonts w:ascii="Times New Roman" w:hAnsi="Times New Roman" w:cs="Times New Roman"/>
          <w:sz w:val="22"/>
          <w:szCs w:val="22"/>
        </w:rPr>
        <w:t xml:space="preserve"> </w:t>
      </w:r>
      <w:r w:rsidRPr="00D25157">
        <w:rPr>
          <w:rFonts w:ascii="Times New Roman" w:hAnsi="Times New Roman" w:cs="Times New Roman"/>
          <w:sz w:val="22"/>
          <w:szCs w:val="22"/>
        </w:rPr>
        <w:t>individual investment decisions regarding the management of</w:t>
      </w:r>
      <w:r>
        <w:rPr>
          <w:rFonts w:ascii="Times New Roman" w:hAnsi="Times New Roman" w:cs="Times New Roman"/>
          <w:sz w:val="22"/>
          <w:szCs w:val="22"/>
        </w:rPr>
        <w:t xml:space="preserve"> </w:t>
      </w:r>
      <w:r w:rsidRPr="00D25157">
        <w:rPr>
          <w:rFonts w:ascii="Times New Roman" w:hAnsi="Times New Roman" w:cs="Times New Roman"/>
          <w:sz w:val="22"/>
          <w:szCs w:val="22"/>
        </w:rPr>
        <w:t>security risk</w:t>
      </w:r>
      <w:r>
        <w:rPr>
          <w:rFonts w:ascii="Times New Roman" w:hAnsi="Times New Roman" w:cs="Times New Roman"/>
          <w:sz w:val="22"/>
          <w:szCs w:val="22"/>
        </w:rPr>
        <w:t>.</w:t>
      </w:r>
    </w:p>
    <w:p w14:paraId="01DE9352" w14:textId="77777777" w:rsidR="00434620" w:rsidRPr="00061095" w:rsidRDefault="00434620">
      <w:pPr>
        <w:pStyle w:val="EndnoteText"/>
        <w:rPr>
          <w:rFonts w:ascii="Times New Roman" w:hAnsi="Times New Roman" w:cs="Times New Roman"/>
          <w:sz w:val="22"/>
          <w:szCs w:val="22"/>
        </w:rPr>
      </w:pPr>
    </w:p>
  </w:endnote>
  <w:endnote w:id="31">
    <w:p w14:paraId="52C66683" w14:textId="77777777" w:rsidR="00434620" w:rsidRPr="00061095" w:rsidRDefault="00434620">
      <w:pPr>
        <w:pStyle w:val="EndnoteText"/>
        <w:rPr>
          <w:rFonts w:ascii="Times New Roman" w:hAnsi="Times New Roman" w:cs="Times New Roman"/>
          <w:sz w:val="22"/>
          <w:szCs w:val="22"/>
        </w:rPr>
      </w:pPr>
      <w:r w:rsidRPr="00061095">
        <w:rPr>
          <w:rStyle w:val="EndnoteReference"/>
          <w:rFonts w:ascii="Times New Roman" w:hAnsi="Times New Roman" w:cs="Times New Roman"/>
          <w:sz w:val="22"/>
          <w:szCs w:val="22"/>
        </w:rPr>
        <w:endnoteRef/>
      </w:r>
      <w:r w:rsidRPr="00061095">
        <w:rPr>
          <w:rFonts w:ascii="Times New Roman" w:hAnsi="Times New Roman" w:cs="Times New Roman"/>
          <w:sz w:val="22"/>
          <w:szCs w:val="22"/>
        </w:rPr>
        <w:t xml:space="preserve"> </w:t>
      </w:r>
      <w:r w:rsidRPr="00654304">
        <w:rPr>
          <w:rFonts w:ascii="Times New Roman" w:hAnsi="Times New Roman" w:cs="Times New Roman"/>
          <w:i/>
          <w:sz w:val="22"/>
          <w:szCs w:val="22"/>
        </w:rPr>
        <w:t>See</w:t>
      </w:r>
      <w:r w:rsidRPr="00061095">
        <w:rPr>
          <w:rFonts w:ascii="Times New Roman" w:hAnsi="Times New Roman" w:cs="Times New Roman"/>
          <w:sz w:val="22"/>
          <w:szCs w:val="22"/>
        </w:rPr>
        <w:t xml:space="preserve"> Rev. Rul. 2009-26, where the IRS </w:t>
      </w:r>
      <w:r>
        <w:rPr>
          <w:rFonts w:ascii="Times New Roman" w:hAnsi="Times New Roman" w:cs="Times New Roman"/>
          <w:sz w:val="22"/>
          <w:szCs w:val="22"/>
        </w:rPr>
        <w:t xml:space="preserve">held </w:t>
      </w:r>
      <w:r w:rsidRPr="00061095">
        <w:rPr>
          <w:rFonts w:ascii="Times New Roman" w:hAnsi="Times New Roman" w:cs="Times New Roman"/>
          <w:sz w:val="22"/>
          <w:szCs w:val="22"/>
        </w:rPr>
        <w:t>that risk distribution is analyzed by looking through to the underlying risks that are reinsured, which may be assumed under a contractual arrangement.  That is, there was no requirement imposed that the risks must have flowed through or originated as risks of a “bona fide insurance company.”</w:t>
      </w:r>
    </w:p>
    <w:p w14:paraId="20579280" w14:textId="77777777" w:rsidR="00434620" w:rsidRPr="00061095" w:rsidRDefault="00434620">
      <w:pPr>
        <w:pStyle w:val="EndnoteText"/>
        <w:rPr>
          <w:rFonts w:ascii="Times New Roman" w:hAnsi="Times New Roman" w:cs="Times New Roman"/>
          <w:sz w:val="22"/>
          <w:szCs w:val="22"/>
        </w:rPr>
      </w:pPr>
    </w:p>
  </w:endnote>
  <w:endnote w:id="32">
    <w:p w14:paraId="5A9BF9FC" w14:textId="77777777" w:rsidR="00434620" w:rsidRPr="00606FC4" w:rsidRDefault="00434620" w:rsidP="001359CD">
      <w:pPr>
        <w:pStyle w:val="EndnoteText"/>
        <w:rPr>
          <w:rFonts w:ascii="Times New Roman" w:hAnsi="Times New Roman" w:cs="Times New Roman"/>
          <w:sz w:val="22"/>
          <w:szCs w:val="22"/>
        </w:rPr>
      </w:pPr>
      <w:r w:rsidRPr="00606FC4">
        <w:rPr>
          <w:rStyle w:val="EndnoteReference"/>
          <w:rFonts w:ascii="Times New Roman" w:hAnsi="Times New Roman" w:cs="Times New Roman"/>
          <w:sz w:val="22"/>
          <w:szCs w:val="22"/>
        </w:rPr>
        <w:endnoteRef/>
      </w:r>
      <w:r w:rsidRPr="00606FC4">
        <w:rPr>
          <w:rFonts w:ascii="Times New Roman" w:hAnsi="Times New Roman" w:cs="Times New Roman"/>
          <w:sz w:val="22"/>
          <w:szCs w:val="22"/>
        </w:rPr>
        <w:t xml:space="preserve"> </w:t>
      </w:r>
      <w:r w:rsidRPr="00654304">
        <w:rPr>
          <w:rFonts w:ascii="Times New Roman" w:hAnsi="Times New Roman" w:cs="Times New Roman"/>
          <w:i/>
          <w:sz w:val="22"/>
          <w:szCs w:val="22"/>
        </w:rPr>
        <w:t>See</w:t>
      </w:r>
      <w:r>
        <w:rPr>
          <w:rFonts w:ascii="Times New Roman" w:hAnsi="Times New Roman" w:cs="Times New Roman"/>
          <w:sz w:val="22"/>
          <w:szCs w:val="22"/>
        </w:rPr>
        <w:t xml:space="preserve"> </w:t>
      </w:r>
      <w:r w:rsidRPr="00090E1E">
        <w:rPr>
          <w:rFonts w:ascii="Times New Roman" w:hAnsi="Times New Roman" w:cs="Times New Roman"/>
          <w:i/>
          <w:sz w:val="22"/>
          <w:szCs w:val="22"/>
        </w:rPr>
        <w:t>Rauenhorst v. Commissioner</w:t>
      </w:r>
      <w:r>
        <w:rPr>
          <w:rFonts w:ascii="Times New Roman" w:hAnsi="Times New Roman" w:cs="Times New Roman"/>
          <w:sz w:val="22"/>
          <w:szCs w:val="22"/>
        </w:rPr>
        <w:t xml:space="preserve">, </w:t>
      </w:r>
      <w:r w:rsidRPr="00090E1E">
        <w:rPr>
          <w:rFonts w:ascii="Times New Roman" w:hAnsi="Times New Roman" w:cs="Times New Roman"/>
          <w:sz w:val="22"/>
          <w:szCs w:val="22"/>
        </w:rPr>
        <w:t>119</w:t>
      </w:r>
      <w:r>
        <w:rPr>
          <w:rFonts w:ascii="Times New Roman" w:hAnsi="Times New Roman" w:cs="Times New Roman"/>
          <w:sz w:val="22"/>
          <w:szCs w:val="22"/>
        </w:rPr>
        <w:t xml:space="preserve"> </w:t>
      </w:r>
      <w:r w:rsidRPr="00090E1E">
        <w:rPr>
          <w:rFonts w:ascii="Times New Roman" w:hAnsi="Times New Roman" w:cs="Times New Roman"/>
          <w:sz w:val="22"/>
          <w:szCs w:val="22"/>
        </w:rPr>
        <w:t>T.C.</w:t>
      </w:r>
      <w:r>
        <w:rPr>
          <w:rFonts w:ascii="Times New Roman" w:hAnsi="Times New Roman" w:cs="Times New Roman"/>
          <w:sz w:val="22"/>
          <w:szCs w:val="22"/>
        </w:rPr>
        <w:t xml:space="preserve"> </w:t>
      </w:r>
      <w:r w:rsidRPr="00090E1E">
        <w:rPr>
          <w:rFonts w:ascii="Times New Roman" w:hAnsi="Times New Roman" w:cs="Times New Roman"/>
          <w:sz w:val="22"/>
          <w:szCs w:val="22"/>
        </w:rPr>
        <w:t>157</w:t>
      </w:r>
      <w:r>
        <w:rPr>
          <w:rFonts w:ascii="Times New Roman" w:hAnsi="Times New Roman" w:cs="Times New Roman"/>
          <w:sz w:val="22"/>
          <w:szCs w:val="22"/>
        </w:rPr>
        <w:t xml:space="preserve">, 183 </w:t>
      </w:r>
      <w:r w:rsidRPr="00090E1E">
        <w:rPr>
          <w:rFonts w:ascii="Times New Roman" w:hAnsi="Times New Roman" w:cs="Times New Roman"/>
          <w:sz w:val="22"/>
          <w:szCs w:val="22"/>
        </w:rPr>
        <w:t>(2002)</w:t>
      </w:r>
      <w:r>
        <w:rPr>
          <w:rFonts w:ascii="Times New Roman" w:hAnsi="Times New Roman" w:cs="Times New Roman"/>
          <w:sz w:val="22"/>
          <w:szCs w:val="22"/>
        </w:rPr>
        <w:t xml:space="preserve">, holding that </w:t>
      </w:r>
      <w:r w:rsidRPr="00090E1E">
        <w:rPr>
          <w:rFonts w:ascii="Times New Roman" w:hAnsi="Times New Roman" w:cs="Times New Roman"/>
          <w:sz w:val="22"/>
          <w:szCs w:val="22"/>
        </w:rPr>
        <w:t>when</w:t>
      </w:r>
      <w:r>
        <w:rPr>
          <w:rFonts w:ascii="Times New Roman" w:hAnsi="Times New Roman" w:cs="Times New Roman"/>
          <w:sz w:val="22"/>
          <w:szCs w:val="22"/>
        </w:rPr>
        <w:t xml:space="preserve"> </w:t>
      </w:r>
      <w:r w:rsidRPr="00090E1E">
        <w:rPr>
          <w:rFonts w:ascii="Times New Roman" w:hAnsi="Times New Roman" w:cs="Times New Roman"/>
          <w:sz w:val="22"/>
          <w:szCs w:val="22"/>
        </w:rPr>
        <w:t>the</w:t>
      </w:r>
      <w:r>
        <w:rPr>
          <w:rFonts w:ascii="Times New Roman" w:hAnsi="Times New Roman" w:cs="Times New Roman"/>
          <w:sz w:val="22"/>
          <w:szCs w:val="22"/>
        </w:rPr>
        <w:t xml:space="preserve"> </w:t>
      </w:r>
      <w:r w:rsidRPr="00090E1E">
        <w:rPr>
          <w:rFonts w:ascii="Times New Roman" w:hAnsi="Times New Roman" w:cs="Times New Roman"/>
          <w:sz w:val="22"/>
          <w:szCs w:val="22"/>
        </w:rPr>
        <w:t>treatment</w:t>
      </w:r>
      <w:r>
        <w:rPr>
          <w:rFonts w:ascii="Times New Roman" w:hAnsi="Times New Roman" w:cs="Times New Roman"/>
          <w:sz w:val="22"/>
          <w:szCs w:val="22"/>
        </w:rPr>
        <w:t xml:space="preserve"> </w:t>
      </w:r>
      <w:r w:rsidRPr="00090E1E">
        <w:rPr>
          <w:rFonts w:ascii="Times New Roman" w:hAnsi="Times New Roman" w:cs="Times New Roman"/>
          <w:sz w:val="22"/>
          <w:szCs w:val="22"/>
        </w:rPr>
        <w:t>in</w:t>
      </w:r>
      <w:r>
        <w:rPr>
          <w:rFonts w:ascii="Times New Roman" w:hAnsi="Times New Roman" w:cs="Times New Roman"/>
          <w:sz w:val="22"/>
          <w:szCs w:val="22"/>
        </w:rPr>
        <w:t xml:space="preserve"> </w:t>
      </w:r>
      <w:r w:rsidRPr="00090E1E">
        <w:rPr>
          <w:rFonts w:ascii="Times New Roman" w:hAnsi="Times New Roman" w:cs="Times New Roman"/>
          <w:sz w:val="22"/>
          <w:szCs w:val="22"/>
        </w:rPr>
        <w:t>a</w:t>
      </w:r>
      <w:r>
        <w:rPr>
          <w:rFonts w:ascii="Times New Roman" w:hAnsi="Times New Roman" w:cs="Times New Roman"/>
          <w:sz w:val="22"/>
          <w:szCs w:val="22"/>
        </w:rPr>
        <w:t xml:space="preserve"> </w:t>
      </w:r>
      <w:r w:rsidRPr="00090E1E">
        <w:rPr>
          <w:rFonts w:ascii="Times New Roman" w:hAnsi="Times New Roman" w:cs="Times New Roman"/>
          <w:sz w:val="22"/>
          <w:szCs w:val="22"/>
        </w:rPr>
        <w:t>revenue</w:t>
      </w:r>
      <w:r>
        <w:rPr>
          <w:rFonts w:ascii="Times New Roman" w:hAnsi="Times New Roman" w:cs="Times New Roman"/>
          <w:sz w:val="22"/>
          <w:szCs w:val="22"/>
        </w:rPr>
        <w:t xml:space="preserve"> </w:t>
      </w:r>
      <w:r w:rsidRPr="00090E1E">
        <w:rPr>
          <w:rFonts w:ascii="Times New Roman" w:hAnsi="Times New Roman" w:cs="Times New Roman"/>
          <w:sz w:val="22"/>
          <w:szCs w:val="22"/>
        </w:rPr>
        <w:t>ruling</w:t>
      </w:r>
      <w:r>
        <w:rPr>
          <w:rFonts w:ascii="Times New Roman" w:hAnsi="Times New Roman" w:cs="Times New Roman"/>
          <w:sz w:val="22"/>
          <w:szCs w:val="22"/>
        </w:rPr>
        <w:t xml:space="preserve"> </w:t>
      </w:r>
      <w:r w:rsidRPr="00090E1E">
        <w:rPr>
          <w:rFonts w:ascii="Times New Roman" w:hAnsi="Times New Roman" w:cs="Times New Roman"/>
          <w:sz w:val="22"/>
          <w:szCs w:val="22"/>
        </w:rPr>
        <w:t>is</w:t>
      </w:r>
      <w:r>
        <w:rPr>
          <w:rFonts w:ascii="Times New Roman" w:hAnsi="Times New Roman" w:cs="Times New Roman"/>
          <w:sz w:val="22"/>
          <w:szCs w:val="22"/>
        </w:rPr>
        <w:t xml:space="preserve"> </w:t>
      </w:r>
      <w:r w:rsidRPr="00090E1E">
        <w:rPr>
          <w:rFonts w:ascii="Times New Roman" w:hAnsi="Times New Roman" w:cs="Times New Roman"/>
          <w:sz w:val="22"/>
          <w:szCs w:val="22"/>
        </w:rPr>
        <w:t>favorable</w:t>
      </w:r>
      <w:r>
        <w:rPr>
          <w:rFonts w:ascii="Times New Roman" w:hAnsi="Times New Roman" w:cs="Times New Roman"/>
          <w:sz w:val="22"/>
          <w:szCs w:val="22"/>
        </w:rPr>
        <w:t xml:space="preserve"> </w:t>
      </w:r>
      <w:r w:rsidRPr="00090E1E">
        <w:rPr>
          <w:rFonts w:ascii="Times New Roman" w:hAnsi="Times New Roman" w:cs="Times New Roman"/>
          <w:sz w:val="22"/>
          <w:szCs w:val="22"/>
        </w:rPr>
        <w:t>to</w:t>
      </w:r>
      <w:r>
        <w:rPr>
          <w:rFonts w:ascii="Times New Roman" w:hAnsi="Times New Roman" w:cs="Times New Roman"/>
          <w:sz w:val="22"/>
          <w:szCs w:val="22"/>
        </w:rPr>
        <w:t xml:space="preserve"> </w:t>
      </w:r>
      <w:r w:rsidRPr="00090E1E">
        <w:rPr>
          <w:rFonts w:ascii="Times New Roman" w:hAnsi="Times New Roman" w:cs="Times New Roman"/>
          <w:sz w:val="22"/>
          <w:szCs w:val="22"/>
        </w:rPr>
        <w:t>taxpayers,</w:t>
      </w:r>
      <w:r>
        <w:rPr>
          <w:rFonts w:ascii="Times New Roman" w:hAnsi="Times New Roman" w:cs="Times New Roman"/>
          <w:sz w:val="22"/>
          <w:szCs w:val="22"/>
        </w:rPr>
        <w:t xml:space="preserve"> </w:t>
      </w:r>
      <w:r w:rsidRPr="00090E1E">
        <w:rPr>
          <w:rFonts w:ascii="Times New Roman" w:hAnsi="Times New Roman" w:cs="Times New Roman"/>
          <w:sz w:val="22"/>
          <w:szCs w:val="22"/>
        </w:rPr>
        <w:t>the</w:t>
      </w:r>
      <w:r>
        <w:rPr>
          <w:rFonts w:ascii="Times New Roman" w:hAnsi="Times New Roman" w:cs="Times New Roman"/>
          <w:sz w:val="22"/>
          <w:szCs w:val="22"/>
        </w:rPr>
        <w:t xml:space="preserve"> </w:t>
      </w:r>
      <w:r w:rsidRPr="00090E1E">
        <w:rPr>
          <w:rFonts w:ascii="Times New Roman" w:hAnsi="Times New Roman" w:cs="Times New Roman"/>
          <w:sz w:val="22"/>
          <w:szCs w:val="22"/>
        </w:rPr>
        <w:t>ruling</w:t>
      </w:r>
      <w:r>
        <w:rPr>
          <w:rFonts w:ascii="Times New Roman" w:hAnsi="Times New Roman" w:cs="Times New Roman"/>
          <w:sz w:val="22"/>
          <w:szCs w:val="22"/>
        </w:rPr>
        <w:t xml:space="preserve"> </w:t>
      </w:r>
      <w:r w:rsidRPr="00090E1E">
        <w:rPr>
          <w:rFonts w:ascii="Times New Roman" w:hAnsi="Times New Roman" w:cs="Times New Roman"/>
          <w:sz w:val="22"/>
          <w:szCs w:val="22"/>
        </w:rPr>
        <w:t>is</w:t>
      </w:r>
      <w:r>
        <w:rPr>
          <w:rFonts w:ascii="Times New Roman" w:hAnsi="Times New Roman" w:cs="Times New Roman"/>
          <w:sz w:val="22"/>
          <w:szCs w:val="22"/>
        </w:rPr>
        <w:t xml:space="preserve"> </w:t>
      </w:r>
      <w:r w:rsidRPr="00090E1E">
        <w:rPr>
          <w:rFonts w:ascii="Times New Roman" w:hAnsi="Times New Roman" w:cs="Times New Roman"/>
          <w:sz w:val="22"/>
          <w:szCs w:val="22"/>
        </w:rPr>
        <w:t>viewed</w:t>
      </w:r>
      <w:r>
        <w:rPr>
          <w:rFonts w:ascii="Times New Roman" w:hAnsi="Times New Roman" w:cs="Times New Roman"/>
          <w:sz w:val="22"/>
          <w:szCs w:val="22"/>
        </w:rPr>
        <w:t xml:space="preserve"> </w:t>
      </w:r>
      <w:r w:rsidRPr="00090E1E">
        <w:rPr>
          <w:rFonts w:ascii="Times New Roman" w:hAnsi="Times New Roman" w:cs="Times New Roman"/>
          <w:sz w:val="22"/>
          <w:szCs w:val="22"/>
        </w:rPr>
        <w:t>as</w:t>
      </w:r>
      <w:r>
        <w:rPr>
          <w:rFonts w:ascii="Times New Roman" w:hAnsi="Times New Roman" w:cs="Times New Roman"/>
          <w:sz w:val="22"/>
          <w:szCs w:val="22"/>
        </w:rPr>
        <w:t xml:space="preserve"> </w:t>
      </w:r>
      <w:r w:rsidRPr="00090E1E">
        <w:rPr>
          <w:rFonts w:ascii="Times New Roman" w:hAnsi="Times New Roman" w:cs="Times New Roman"/>
          <w:sz w:val="22"/>
          <w:szCs w:val="22"/>
        </w:rPr>
        <w:t>a</w:t>
      </w:r>
      <w:r>
        <w:rPr>
          <w:rFonts w:ascii="Times New Roman" w:hAnsi="Times New Roman" w:cs="Times New Roman"/>
          <w:sz w:val="22"/>
          <w:szCs w:val="22"/>
        </w:rPr>
        <w:t xml:space="preserve"> </w:t>
      </w:r>
      <w:r w:rsidRPr="00090E1E">
        <w:rPr>
          <w:rFonts w:ascii="Times New Roman" w:hAnsi="Times New Roman" w:cs="Times New Roman"/>
          <w:sz w:val="22"/>
          <w:szCs w:val="22"/>
        </w:rPr>
        <w:t>concession</w:t>
      </w:r>
      <w:r>
        <w:rPr>
          <w:rFonts w:ascii="Times New Roman" w:hAnsi="Times New Roman" w:cs="Times New Roman"/>
          <w:sz w:val="22"/>
          <w:szCs w:val="22"/>
        </w:rPr>
        <w:t xml:space="preserve"> </w:t>
      </w:r>
      <w:r w:rsidRPr="00090E1E">
        <w:rPr>
          <w:rFonts w:ascii="Times New Roman" w:hAnsi="Times New Roman" w:cs="Times New Roman"/>
          <w:sz w:val="22"/>
          <w:szCs w:val="22"/>
        </w:rPr>
        <w:t>by</w:t>
      </w:r>
      <w:r>
        <w:rPr>
          <w:rFonts w:ascii="Times New Roman" w:hAnsi="Times New Roman" w:cs="Times New Roman"/>
          <w:sz w:val="22"/>
          <w:szCs w:val="22"/>
        </w:rPr>
        <w:t xml:space="preserve"> the IRS </w:t>
      </w:r>
      <w:r w:rsidRPr="00090E1E">
        <w:rPr>
          <w:rFonts w:ascii="Times New Roman" w:hAnsi="Times New Roman" w:cs="Times New Roman"/>
          <w:sz w:val="22"/>
          <w:szCs w:val="22"/>
        </w:rPr>
        <w:t>and</w:t>
      </w:r>
      <w:r>
        <w:rPr>
          <w:rFonts w:ascii="Times New Roman" w:hAnsi="Times New Roman" w:cs="Times New Roman"/>
          <w:sz w:val="22"/>
          <w:szCs w:val="22"/>
        </w:rPr>
        <w:t xml:space="preserve"> </w:t>
      </w:r>
      <w:r w:rsidRPr="00090E1E">
        <w:rPr>
          <w:rFonts w:ascii="Times New Roman" w:hAnsi="Times New Roman" w:cs="Times New Roman"/>
          <w:sz w:val="22"/>
          <w:szCs w:val="22"/>
        </w:rPr>
        <w:t>is</w:t>
      </w:r>
      <w:r>
        <w:rPr>
          <w:rFonts w:ascii="Times New Roman" w:hAnsi="Times New Roman" w:cs="Times New Roman"/>
          <w:sz w:val="22"/>
          <w:szCs w:val="22"/>
        </w:rPr>
        <w:t xml:space="preserve"> </w:t>
      </w:r>
      <w:r w:rsidRPr="00090E1E">
        <w:rPr>
          <w:rFonts w:ascii="Times New Roman" w:hAnsi="Times New Roman" w:cs="Times New Roman"/>
          <w:sz w:val="22"/>
          <w:szCs w:val="22"/>
        </w:rPr>
        <w:t>followed</w:t>
      </w:r>
      <w:r>
        <w:rPr>
          <w:rFonts w:ascii="Times New Roman" w:hAnsi="Times New Roman" w:cs="Times New Roman"/>
          <w:sz w:val="22"/>
          <w:szCs w:val="22"/>
        </w:rPr>
        <w:t xml:space="preserve"> </w:t>
      </w:r>
      <w:r w:rsidRPr="00090E1E">
        <w:rPr>
          <w:rFonts w:ascii="Times New Roman" w:hAnsi="Times New Roman" w:cs="Times New Roman"/>
          <w:sz w:val="22"/>
          <w:szCs w:val="22"/>
        </w:rPr>
        <w:t>by</w:t>
      </w:r>
      <w:r>
        <w:rPr>
          <w:rFonts w:ascii="Times New Roman" w:hAnsi="Times New Roman" w:cs="Times New Roman"/>
          <w:sz w:val="22"/>
          <w:szCs w:val="22"/>
        </w:rPr>
        <w:t xml:space="preserve"> </w:t>
      </w:r>
      <w:r w:rsidRPr="00090E1E">
        <w:rPr>
          <w:rFonts w:ascii="Times New Roman" w:hAnsi="Times New Roman" w:cs="Times New Roman"/>
          <w:sz w:val="22"/>
          <w:szCs w:val="22"/>
        </w:rPr>
        <w:t>the</w:t>
      </w:r>
      <w:r>
        <w:rPr>
          <w:rFonts w:ascii="Times New Roman" w:hAnsi="Times New Roman" w:cs="Times New Roman"/>
          <w:sz w:val="22"/>
          <w:szCs w:val="22"/>
        </w:rPr>
        <w:t xml:space="preserve"> </w:t>
      </w:r>
      <w:r w:rsidRPr="00090E1E">
        <w:rPr>
          <w:rFonts w:ascii="Times New Roman" w:hAnsi="Times New Roman" w:cs="Times New Roman"/>
          <w:sz w:val="22"/>
          <w:szCs w:val="22"/>
        </w:rPr>
        <w:t>Court.</w:t>
      </w:r>
      <w:r>
        <w:rPr>
          <w:rFonts w:ascii="Times New Roman" w:hAnsi="Times New Roman" w:cs="Times New Roman"/>
          <w:sz w:val="22"/>
          <w:szCs w:val="22"/>
        </w:rPr>
        <w:t xml:space="preserve">  </w:t>
      </w:r>
      <w:r w:rsidRPr="00654304">
        <w:rPr>
          <w:rFonts w:ascii="Times New Roman" w:hAnsi="Times New Roman" w:cs="Times New Roman"/>
          <w:i/>
          <w:sz w:val="22"/>
          <w:szCs w:val="22"/>
        </w:rPr>
        <w:t>See also</w:t>
      </w:r>
      <w:r>
        <w:rPr>
          <w:rFonts w:ascii="Times New Roman" w:hAnsi="Times New Roman" w:cs="Times New Roman"/>
          <w:sz w:val="22"/>
          <w:szCs w:val="22"/>
        </w:rPr>
        <w:t xml:space="preserve"> </w:t>
      </w:r>
      <w:r w:rsidRPr="00210260">
        <w:rPr>
          <w:rFonts w:ascii="Times New Roman" w:hAnsi="Times New Roman" w:cs="Times New Roman"/>
          <w:i/>
          <w:sz w:val="22"/>
          <w:szCs w:val="22"/>
        </w:rPr>
        <w:t>Beneficial Found., Inc. v. U.S.</w:t>
      </w:r>
      <w:r w:rsidRPr="001359CD">
        <w:rPr>
          <w:rFonts w:ascii="Times New Roman" w:hAnsi="Times New Roman" w:cs="Times New Roman"/>
          <w:sz w:val="22"/>
          <w:szCs w:val="22"/>
        </w:rPr>
        <w:t>,</w:t>
      </w:r>
      <w:r>
        <w:rPr>
          <w:rFonts w:ascii="Times New Roman" w:hAnsi="Times New Roman" w:cs="Times New Roman"/>
          <w:sz w:val="22"/>
          <w:szCs w:val="22"/>
        </w:rPr>
        <w:t xml:space="preserve"> </w:t>
      </w:r>
      <w:r w:rsidRPr="001359CD">
        <w:rPr>
          <w:rFonts w:ascii="Times New Roman" w:hAnsi="Times New Roman" w:cs="Times New Roman"/>
          <w:sz w:val="22"/>
          <w:szCs w:val="22"/>
        </w:rPr>
        <w:t>8</w:t>
      </w:r>
      <w:r>
        <w:rPr>
          <w:rFonts w:ascii="Times New Roman" w:hAnsi="Times New Roman" w:cs="Times New Roman"/>
          <w:sz w:val="22"/>
          <w:szCs w:val="22"/>
        </w:rPr>
        <w:t xml:space="preserve"> </w:t>
      </w:r>
      <w:r w:rsidRPr="001359CD">
        <w:rPr>
          <w:rFonts w:ascii="Times New Roman" w:hAnsi="Times New Roman" w:cs="Times New Roman"/>
          <w:sz w:val="22"/>
          <w:szCs w:val="22"/>
        </w:rPr>
        <w:t>C1.</w:t>
      </w:r>
      <w:r>
        <w:rPr>
          <w:rFonts w:ascii="Times New Roman" w:hAnsi="Times New Roman" w:cs="Times New Roman"/>
          <w:sz w:val="22"/>
          <w:szCs w:val="22"/>
        </w:rPr>
        <w:t xml:space="preserve"> </w:t>
      </w:r>
      <w:r w:rsidRPr="001359CD">
        <w:rPr>
          <w:rFonts w:ascii="Times New Roman" w:hAnsi="Times New Roman" w:cs="Times New Roman"/>
          <w:sz w:val="22"/>
          <w:szCs w:val="22"/>
        </w:rPr>
        <w:t>Ct.</w:t>
      </w:r>
      <w:r>
        <w:rPr>
          <w:rFonts w:ascii="Times New Roman" w:hAnsi="Times New Roman" w:cs="Times New Roman"/>
          <w:sz w:val="22"/>
          <w:szCs w:val="22"/>
        </w:rPr>
        <w:t xml:space="preserve"> </w:t>
      </w:r>
      <w:r w:rsidRPr="001359CD">
        <w:rPr>
          <w:rFonts w:ascii="Times New Roman" w:hAnsi="Times New Roman" w:cs="Times New Roman"/>
          <w:sz w:val="22"/>
          <w:szCs w:val="22"/>
        </w:rPr>
        <w:t>639,</w:t>
      </w:r>
      <w:r>
        <w:rPr>
          <w:rFonts w:ascii="Times New Roman" w:hAnsi="Times New Roman" w:cs="Times New Roman"/>
          <w:sz w:val="22"/>
          <w:szCs w:val="22"/>
        </w:rPr>
        <w:t xml:space="preserve"> </w:t>
      </w:r>
      <w:r w:rsidRPr="001359CD">
        <w:rPr>
          <w:rFonts w:ascii="Times New Roman" w:hAnsi="Times New Roman" w:cs="Times New Roman"/>
          <w:sz w:val="22"/>
          <w:szCs w:val="22"/>
        </w:rPr>
        <w:t>645</w:t>
      </w:r>
      <w:r>
        <w:rPr>
          <w:rFonts w:ascii="Times New Roman" w:hAnsi="Times New Roman" w:cs="Times New Roman"/>
          <w:sz w:val="22"/>
          <w:szCs w:val="22"/>
        </w:rPr>
        <w:t xml:space="preserve"> </w:t>
      </w:r>
      <w:r w:rsidRPr="001359CD">
        <w:rPr>
          <w:rFonts w:ascii="Times New Roman" w:hAnsi="Times New Roman" w:cs="Times New Roman"/>
          <w:sz w:val="22"/>
          <w:szCs w:val="22"/>
        </w:rPr>
        <w:t>(1985)</w:t>
      </w:r>
      <w:r>
        <w:rPr>
          <w:rFonts w:ascii="Times New Roman" w:hAnsi="Times New Roman" w:cs="Times New Roman"/>
          <w:sz w:val="22"/>
          <w:szCs w:val="22"/>
        </w:rPr>
        <w:t xml:space="preserve"> </w:t>
      </w:r>
      <w:r w:rsidRPr="001359CD">
        <w:rPr>
          <w:rFonts w:ascii="Times New Roman" w:hAnsi="Times New Roman" w:cs="Times New Roman"/>
          <w:sz w:val="22"/>
          <w:szCs w:val="22"/>
        </w:rPr>
        <w:t>(</w:t>
      </w:r>
      <w:r>
        <w:rPr>
          <w:rFonts w:ascii="Times New Roman" w:hAnsi="Times New Roman" w:cs="Times New Roman"/>
          <w:sz w:val="22"/>
          <w:szCs w:val="22"/>
        </w:rPr>
        <w:t>“</w:t>
      </w:r>
      <w:r w:rsidRPr="001359CD">
        <w:rPr>
          <w:rFonts w:ascii="Times New Roman" w:hAnsi="Times New Roman" w:cs="Times New Roman"/>
          <w:sz w:val="22"/>
          <w:szCs w:val="22"/>
        </w:rPr>
        <w:t>So</w:t>
      </w:r>
      <w:r>
        <w:rPr>
          <w:rFonts w:ascii="Times New Roman" w:hAnsi="Times New Roman" w:cs="Times New Roman"/>
          <w:sz w:val="22"/>
          <w:szCs w:val="22"/>
        </w:rPr>
        <w:t xml:space="preserve"> </w:t>
      </w:r>
      <w:r w:rsidRPr="001359CD">
        <w:rPr>
          <w:rFonts w:ascii="Times New Roman" w:hAnsi="Times New Roman" w:cs="Times New Roman"/>
          <w:sz w:val="22"/>
          <w:szCs w:val="22"/>
        </w:rPr>
        <w:t>long</w:t>
      </w:r>
      <w:r>
        <w:rPr>
          <w:rFonts w:ascii="Times New Roman" w:hAnsi="Times New Roman" w:cs="Times New Roman"/>
          <w:sz w:val="22"/>
          <w:szCs w:val="22"/>
        </w:rPr>
        <w:t xml:space="preserve"> </w:t>
      </w:r>
      <w:r w:rsidRPr="001359CD">
        <w:rPr>
          <w:rFonts w:ascii="Times New Roman" w:hAnsi="Times New Roman" w:cs="Times New Roman"/>
          <w:sz w:val="22"/>
          <w:szCs w:val="22"/>
        </w:rPr>
        <w:t>as</w:t>
      </w:r>
      <w:r>
        <w:rPr>
          <w:rFonts w:ascii="Times New Roman" w:hAnsi="Times New Roman" w:cs="Times New Roman"/>
          <w:sz w:val="22"/>
          <w:szCs w:val="22"/>
        </w:rPr>
        <w:t xml:space="preserve"> a </w:t>
      </w:r>
      <w:r w:rsidRPr="001359CD">
        <w:rPr>
          <w:rFonts w:ascii="Times New Roman" w:hAnsi="Times New Roman" w:cs="Times New Roman"/>
          <w:sz w:val="22"/>
          <w:szCs w:val="22"/>
        </w:rPr>
        <w:t>published</w:t>
      </w:r>
      <w:r>
        <w:rPr>
          <w:rFonts w:ascii="Times New Roman" w:hAnsi="Times New Roman" w:cs="Times New Roman"/>
          <w:sz w:val="22"/>
          <w:szCs w:val="22"/>
        </w:rPr>
        <w:t xml:space="preserve"> </w:t>
      </w:r>
      <w:r w:rsidRPr="001359CD">
        <w:rPr>
          <w:rFonts w:ascii="Times New Roman" w:hAnsi="Times New Roman" w:cs="Times New Roman"/>
          <w:sz w:val="22"/>
          <w:szCs w:val="22"/>
        </w:rPr>
        <w:t>ruling</w:t>
      </w:r>
      <w:r>
        <w:rPr>
          <w:rFonts w:ascii="Times New Roman" w:hAnsi="Times New Roman" w:cs="Times New Roman"/>
          <w:sz w:val="22"/>
          <w:szCs w:val="22"/>
        </w:rPr>
        <w:t xml:space="preserve"> </w:t>
      </w:r>
      <w:r w:rsidRPr="001359CD">
        <w:rPr>
          <w:rFonts w:ascii="Times New Roman" w:hAnsi="Times New Roman" w:cs="Times New Roman"/>
          <w:sz w:val="22"/>
          <w:szCs w:val="22"/>
        </w:rPr>
        <w:t>is</w:t>
      </w:r>
      <w:r>
        <w:rPr>
          <w:rFonts w:ascii="Times New Roman" w:hAnsi="Times New Roman" w:cs="Times New Roman"/>
          <w:sz w:val="22"/>
          <w:szCs w:val="22"/>
        </w:rPr>
        <w:t xml:space="preserve"> </w:t>
      </w:r>
      <w:r w:rsidRPr="001359CD">
        <w:rPr>
          <w:rFonts w:ascii="Times New Roman" w:hAnsi="Times New Roman" w:cs="Times New Roman"/>
          <w:sz w:val="22"/>
          <w:szCs w:val="22"/>
        </w:rPr>
        <w:t>not</w:t>
      </w:r>
      <w:r>
        <w:rPr>
          <w:rFonts w:ascii="Times New Roman" w:hAnsi="Times New Roman" w:cs="Times New Roman"/>
          <w:sz w:val="22"/>
          <w:szCs w:val="22"/>
        </w:rPr>
        <w:t xml:space="preserve"> </w:t>
      </w:r>
      <w:r w:rsidRPr="001359CD">
        <w:rPr>
          <w:rFonts w:ascii="Times New Roman" w:hAnsi="Times New Roman" w:cs="Times New Roman"/>
          <w:sz w:val="22"/>
          <w:szCs w:val="22"/>
        </w:rPr>
        <w:t>revoked</w:t>
      </w:r>
      <w:r>
        <w:rPr>
          <w:rFonts w:ascii="Times New Roman" w:hAnsi="Times New Roman" w:cs="Times New Roman"/>
          <w:sz w:val="22"/>
          <w:szCs w:val="22"/>
        </w:rPr>
        <w:t xml:space="preserve"> </w:t>
      </w:r>
      <w:r w:rsidRPr="001359CD">
        <w:rPr>
          <w:rFonts w:ascii="Times New Roman" w:hAnsi="Times New Roman" w:cs="Times New Roman"/>
          <w:sz w:val="22"/>
          <w:szCs w:val="22"/>
        </w:rPr>
        <w:t>or</w:t>
      </w:r>
      <w:r>
        <w:rPr>
          <w:rFonts w:ascii="Times New Roman" w:hAnsi="Times New Roman" w:cs="Times New Roman"/>
          <w:sz w:val="22"/>
          <w:szCs w:val="22"/>
        </w:rPr>
        <w:t xml:space="preserve"> </w:t>
      </w:r>
      <w:r w:rsidRPr="001359CD">
        <w:rPr>
          <w:rFonts w:ascii="Times New Roman" w:hAnsi="Times New Roman" w:cs="Times New Roman"/>
          <w:sz w:val="22"/>
          <w:szCs w:val="22"/>
        </w:rPr>
        <w:t>modified,</w:t>
      </w:r>
      <w:r>
        <w:rPr>
          <w:rFonts w:ascii="Times New Roman" w:hAnsi="Times New Roman" w:cs="Times New Roman"/>
          <w:sz w:val="22"/>
          <w:szCs w:val="22"/>
        </w:rPr>
        <w:t xml:space="preserve"> </w:t>
      </w:r>
      <w:r w:rsidRPr="001359CD">
        <w:rPr>
          <w:rFonts w:ascii="Times New Roman" w:hAnsi="Times New Roman" w:cs="Times New Roman"/>
          <w:sz w:val="22"/>
          <w:szCs w:val="22"/>
        </w:rPr>
        <w:t>it</w:t>
      </w:r>
      <w:r>
        <w:rPr>
          <w:rFonts w:ascii="Times New Roman" w:hAnsi="Times New Roman" w:cs="Times New Roman"/>
          <w:sz w:val="22"/>
          <w:szCs w:val="22"/>
        </w:rPr>
        <w:t xml:space="preserve"> </w:t>
      </w:r>
      <w:r w:rsidRPr="001359CD">
        <w:rPr>
          <w:rFonts w:ascii="Times New Roman" w:hAnsi="Times New Roman" w:cs="Times New Roman"/>
          <w:sz w:val="22"/>
          <w:szCs w:val="22"/>
        </w:rPr>
        <w:t>may</w:t>
      </w:r>
      <w:r>
        <w:rPr>
          <w:rFonts w:ascii="Times New Roman" w:hAnsi="Times New Roman" w:cs="Times New Roman"/>
          <w:sz w:val="22"/>
          <w:szCs w:val="22"/>
        </w:rPr>
        <w:t xml:space="preserve"> </w:t>
      </w:r>
      <w:r w:rsidRPr="001359CD">
        <w:rPr>
          <w:rFonts w:ascii="Times New Roman" w:hAnsi="Times New Roman" w:cs="Times New Roman"/>
          <w:sz w:val="22"/>
          <w:szCs w:val="22"/>
        </w:rPr>
        <w:t>be</w:t>
      </w:r>
      <w:r>
        <w:rPr>
          <w:rFonts w:ascii="Times New Roman" w:hAnsi="Times New Roman" w:cs="Times New Roman"/>
          <w:sz w:val="22"/>
          <w:szCs w:val="22"/>
        </w:rPr>
        <w:t xml:space="preserve"> </w:t>
      </w:r>
      <w:r w:rsidRPr="001359CD">
        <w:rPr>
          <w:rFonts w:ascii="Times New Roman" w:hAnsi="Times New Roman" w:cs="Times New Roman"/>
          <w:sz w:val="22"/>
          <w:szCs w:val="22"/>
        </w:rPr>
        <w:t>invoked</w:t>
      </w:r>
      <w:r>
        <w:rPr>
          <w:rFonts w:ascii="Times New Roman" w:hAnsi="Times New Roman" w:cs="Times New Roman"/>
          <w:sz w:val="22"/>
          <w:szCs w:val="22"/>
        </w:rPr>
        <w:t xml:space="preserve"> </w:t>
      </w:r>
      <w:r w:rsidRPr="001359CD">
        <w:rPr>
          <w:rFonts w:ascii="Times New Roman" w:hAnsi="Times New Roman" w:cs="Times New Roman"/>
          <w:sz w:val="22"/>
          <w:szCs w:val="22"/>
        </w:rPr>
        <w:t>by</w:t>
      </w:r>
      <w:r>
        <w:rPr>
          <w:rFonts w:ascii="Times New Roman" w:hAnsi="Times New Roman" w:cs="Times New Roman"/>
          <w:sz w:val="22"/>
          <w:szCs w:val="22"/>
        </w:rPr>
        <w:t xml:space="preserve"> </w:t>
      </w:r>
      <w:r w:rsidRPr="001359CD">
        <w:rPr>
          <w:rFonts w:ascii="Times New Roman" w:hAnsi="Times New Roman" w:cs="Times New Roman"/>
          <w:sz w:val="22"/>
          <w:szCs w:val="22"/>
        </w:rPr>
        <w:t>any</w:t>
      </w:r>
      <w:r>
        <w:rPr>
          <w:rFonts w:ascii="Times New Roman" w:hAnsi="Times New Roman" w:cs="Times New Roman"/>
          <w:sz w:val="22"/>
          <w:szCs w:val="22"/>
        </w:rPr>
        <w:t xml:space="preserve"> </w:t>
      </w:r>
      <w:r w:rsidRPr="001359CD">
        <w:rPr>
          <w:rFonts w:ascii="Times New Roman" w:hAnsi="Times New Roman" w:cs="Times New Roman"/>
          <w:sz w:val="22"/>
          <w:szCs w:val="22"/>
        </w:rPr>
        <w:t>taxpayer</w:t>
      </w:r>
      <w:r>
        <w:rPr>
          <w:rFonts w:ascii="Times New Roman" w:hAnsi="Times New Roman" w:cs="Times New Roman"/>
          <w:sz w:val="22"/>
          <w:szCs w:val="22"/>
        </w:rPr>
        <w:t xml:space="preserve"> </w:t>
      </w:r>
      <w:r w:rsidRPr="001359CD">
        <w:rPr>
          <w:rFonts w:ascii="Times New Roman" w:hAnsi="Times New Roman" w:cs="Times New Roman"/>
          <w:sz w:val="22"/>
          <w:szCs w:val="22"/>
        </w:rPr>
        <w:t>as</w:t>
      </w:r>
      <w:r>
        <w:rPr>
          <w:rFonts w:ascii="Times New Roman" w:hAnsi="Times New Roman" w:cs="Times New Roman"/>
          <w:sz w:val="22"/>
          <w:szCs w:val="22"/>
        </w:rPr>
        <w:t xml:space="preserve"> </w:t>
      </w:r>
      <w:r w:rsidRPr="001359CD">
        <w:rPr>
          <w:rFonts w:ascii="Times New Roman" w:hAnsi="Times New Roman" w:cs="Times New Roman"/>
          <w:sz w:val="22"/>
          <w:szCs w:val="22"/>
        </w:rPr>
        <w:t>if</w:t>
      </w:r>
      <w:r>
        <w:rPr>
          <w:rFonts w:ascii="Times New Roman" w:hAnsi="Times New Roman" w:cs="Times New Roman"/>
          <w:sz w:val="22"/>
          <w:szCs w:val="22"/>
        </w:rPr>
        <w:t xml:space="preserve"> </w:t>
      </w:r>
      <w:r w:rsidRPr="001359CD">
        <w:rPr>
          <w:rFonts w:ascii="Times New Roman" w:hAnsi="Times New Roman" w:cs="Times New Roman"/>
          <w:sz w:val="22"/>
          <w:szCs w:val="22"/>
        </w:rPr>
        <w:t>it</w:t>
      </w:r>
      <w:r>
        <w:rPr>
          <w:rFonts w:ascii="Times New Roman" w:hAnsi="Times New Roman" w:cs="Times New Roman"/>
          <w:sz w:val="22"/>
          <w:szCs w:val="22"/>
        </w:rPr>
        <w:t xml:space="preserve"> </w:t>
      </w:r>
      <w:r w:rsidRPr="001359CD">
        <w:rPr>
          <w:rFonts w:ascii="Times New Roman" w:hAnsi="Times New Roman" w:cs="Times New Roman"/>
          <w:sz w:val="22"/>
          <w:szCs w:val="22"/>
        </w:rPr>
        <w:t>were</w:t>
      </w:r>
      <w:r>
        <w:rPr>
          <w:rFonts w:ascii="Times New Roman" w:hAnsi="Times New Roman" w:cs="Times New Roman"/>
          <w:sz w:val="22"/>
          <w:szCs w:val="22"/>
        </w:rPr>
        <w:t xml:space="preserve"> </w:t>
      </w:r>
      <w:r w:rsidRPr="001359CD">
        <w:rPr>
          <w:rFonts w:ascii="Times New Roman" w:hAnsi="Times New Roman" w:cs="Times New Roman"/>
          <w:sz w:val="22"/>
          <w:szCs w:val="22"/>
        </w:rPr>
        <w:t>issued</w:t>
      </w:r>
      <w:r>
        <w:rPr>
          <w:rFonts w:ascii="Times New Roman" w:hAnsi="Times New Roman" w:cs="Times New Roman"/>
          <w:sz w:val="22"/>
          <w:szCs w:val="22"/>
        </w:rPr>
        <w:t xml:space="preserve"> </w:t>
      </w:r>
      <w:r w:rsidRPr="001359CD">
        <w:rPr>
          <w:rFonts w:ascii="Times New Roman" w:hAnsi="Times New Roman" w:cs="Times New Roman"/>
          <w:sz w:val="22"/>
          <w:szCs w:val="22"/>
        </w:rPr>
        <w:t>to</w:t>
      </w:r>
      <w:r>
        <w:rPr>
          <w:rFonts w:ascii="Times New Roman" w:hAnsi="Times New Roman" w:cs="Times New Roman"/>
          <w:sz w:val="22"/>
          <w:szCs w:val="22"/>
        </w:rPr>
        <w:t xml:space="preserve"> </w:t>
      </w:r>
      <w:r w:rsidRPr="001359CD">
        <w:rPr>
          <w:rFonts w:ascii="Times New Roman" w:hAnsi="Times New Roman" w:cs="Times New Roman"/>
          <w:sz w:val="22"/>
          <w:szCs w:val="22"/>
        </w:rPr>
        <w:t>him</w:t>
      </w:r>
      <w:r>
        <w:rPr>
          <w:rFonts w:ascii="Times New Roman" w:hAnsi="Times New Roman" w:cs="Times New Roman"/>
          <w:sz w:val="22"/>
          <w:szCs w:val="22"/>
        </w:rPr>
        <w:t xml:space="preserve"> </w:t>
      </w:r>
      <w:r w:rsidRPr="001359CD">
        <w:rPr>
          <w:rFonts w:ascii="Times New Roman" w:hAnsi="Times New Roman" w:cs="Times New Roman"/>
          <w:sz w:val="22"/>
          <w:szCs w:val="22"/>
        </w:rPr>
        <w:t>personally</w:t>
      </w:r>
      <w:r>
        <w:rPr>
          <w:rFonts w:ascii="Times New Roman" w:hAnsi="Times New Roman" w:cs="Times New Roman"/>
          <w:sz w:val="22"/>
          <w:szCs w:val="22"/>
        </w:rPr>
        <w:t xml:space="preserve"> </w:t>
      </w:r>
      <w:r w:rsidRPr="001359CD">
        <w:rPr>
          <w:rFonts w:ascii="Times New Roman" w:hAnsi="Times New Roman" w:cs="Times New Roman"/>
          <w:sz w:val="22"/>
          <w:szCs w:val="22"/>
        </w:rPr>
        <w:t>and,</w:t>
      </w:r>
      <w:r>
        <w:rPr>
          <w:rFonts w:ascii="Times New Roman" w:hAnsi="Times New Roman" w:cs="Times New Roman"/>
          <w:sz w:val="22"/>
          <w:szCs w:val="22"/>
        </w:rPr>
        <w:t xml:space="preserve"> </w:t>
      </w:r>
      <w:r w:rsidRPr="001359CD">
        <w:rPr>
          <w:rFonts w:ascii="Times New Roman" w:hAnsi="Times New Roman" w:cs="Times New Roman"/>
          <w:sz w:val="22"/>
          <w:szCs w:val="22"/>
        </w:rPr>
        <w:t>to</w:t>
      </w:r>
      <w:r>
        <w:rPr>
          <w:rFonts w:ascii="Times New Roman" w:hAnsi="Times New Roman" w:cs="Times New Roman"/>
          <w:sz w:val="22"/>
          <w:szCs w:val="22"/>
        </w:rPr>
        <w:t xml:space="preserve"> </w:t>
      </w:r>
      <w:r w:rsidRPr="001359CD">
        <w:rPr>
          <w:rFonts w:ascii="Times New Roman" w:hAnsi="Times New Roman" w:cs="Times New Roman"/>
          <w:sz w:val="22"/>
          <w:szCs w:val="22"/>
        </w:rPr>
        <w:t>the</w:t>
      </w:r>
      <w:r>
        <w:rPr>
          <w:rFonts w:ascii="Times New Roman" w:hAnsi="Times New Roman" w:cs="Times New Roman"/>
          <w:sz w:val="22"/>
          <w:szCs w:val="22"/>
        </w:rPr>
        <w:t xml:space="preserve"> </w:t>
      </w:r>
      <w:r w:rsidRPr="001359CD">
        <w:rPr>
          <w:rFonts w:ascii="Times New Roman" w:hAnsi="Times New Roman" w:cs="Times New Roman"/>
          <w:sz w:val="22"/>
          <w:szCs w:val="22"/>
        </w:rPr>
        <w:t>extent</w:t>
      </w:r>
      <w:r>
        <w:rPr>
          <w:rFonts w:ascii="Times New Roman" w:hAnsi="Times New Roman" w:cs="Times New Roman"/>
          <w:sz w:val="22"/>
          <w:szCs w:val="22"/>
        </w:rPr>
        <w:t xml:space="preserve"> </w:t>
      </w:r>
      <w:r w:rsidRPr="001359CD">
        <w:rPr>
          <w:rFonts w:ascii="Times New Roman" w:hAnsi="Times New Roman" w:cs="Times New Roman"/>
          <w:sz w:val="22"/>
          <w:szCs w:val="22"/>
        </w:rPr>
        <w:t>that</w:t>
      </w:r>
      <w:r>
        <w:rPr>
          <w:rFonts w:ascii="Times New Roman" w:hAnsi="Times New Roman" w:cs="Times New Roman"/>
          <w:sz w:val="22"/>
          <w:szCs w:val="22"/>
        </w:rPr>
        <w:t xml:space="preserve"> </w:t>
      </w:r>
      <w:r w:rsidRPr="001359CD">
        <w:rPr>
          <w:rFonts w:ascii="Times New Roman" w:hAnsi="Times New Roman" w:cs="Times New Roman"/>
          <w:sz w:val="22"/>
          <w:szCs w:val="22"/>
        </w:rPr>
        <w:t>it</w:t>
      </w:r>
      <w:r>
        <w:rPr>
          <w:rFonts w:ascii="Times New Roman" w:hAnsi="Times New Roman" w:cs="Times New Roman"/>
          <w:sz w:val="22"/>
          <w:szCs w:val="22"/>
        </w:rPr>
        <w:t xml:space="preserve"> </w:t>
      </w:r>
      <w:r w:rsidRPr="001359CD">
        <w:rPr>
          <w:rFonts w:ascii="Times New Roman" w:hAnsi="Times New Roman" w:cs="Times New Roman"/>
          <w:sz w:val="22"/>
          <w:szCs w:val="22"/>
        </w:rPr>
        <w:t>addresses</w:t>
      </w:r>
      <w:r>
        <w:rPr>
          <w:rFonts w:ascii="Times New Roman" w:hAnsi="Times New Roman" w:cs="Times New Roman"/>
          <w:sz w:val="22"/>
          <w:szCs w:val="22"/>
        </w:rPr>
        <w:t xml:space="preserve"> </w:t>
      </w:r>
      <w:r w:rsidRPr="001359CD">
        <w:rPr>
          <w:rFonts w:ascii="Times New Roman" w:hAnsi="Times New Roman" w:cs="Times New Roman"/>
          <w:sz w:val="22"/>
          <w:szCs w:val="22"/>
        </w:rPr>
        <w:t>issues</w:t>
      </w:r>
      <w:r>
        <w:rPr>
          <w:rFonts w:ascii="Times New Roman" w:hAnsi="Times New Roman" w:cs="Times New Roman"/>
          <w:sz w:val="22"/>
          <w:szCs w:val="22"/>
        </w:rPr>
        <w:t xml:space="preserve"> </w:t>
      </w:r>
      <w:r w:rsidRPr="001359CD">
        <w:rPr>
          <w:rFonts w:ascii="Times New Roman" w:hAnsi="Times New Roman" w:cs="Times New Roman"/>
          <w:sz w:val="22"/>
          <w:szCs w:val="22"/>
        </w:rPr>
        <w:t>in</w:t>
      </w:r>
      <w:r>
        <w:rPr>
          <w:rFonts w:ascii="Times New Roman" w:hAnsi="Times New Roman" w:cs="Times New Roman"/>
          <w:sz w:val="22"/>
          <w:szCs w:val="22"/>
        </w:rPr>
        <w:t xml:space="preserve"> </w:t>
      </w:r>
      <w:r w:rsidRPr="001359CD">
        <w:rPr>
          <w:rFonts w:ascii="Times New Roman" w:hAnsi="Times New Roman" w:cs="Times New Roman"/>
          <w:sz w:val="22"/>
          <w:szCs w:val="22"/>
        </w:rPr>
        <w:t>his</w:t>
      </w:r>
      <w:r>
        <w:rPr>
          <w:rFonts w:ascii="Times New Roman" w:hAnsi="Times New Roman" w:cs="Times New Roman"/>
          <w:sz w:val="22"/>
          <w:szCs w:val="22"/>
        </w:rPr>
        <w:t xml:space="preserve"> </w:t>
      </w:r>
      <w:r w:rsidRPr="001359CD">
        <w:rPr>
          <w:rFonts w:ascii="Times New Roman" w:hAnsi="Times New Roman" w:cs="Times New Roman"/>
          <w:sz w:val="22"/>
          <w:szCs w:val="22"/>
        </w:rPr>
        <w:t>case,</w:t>
      </w:r>
      <w:r>
        <w:rPr>
          <w:rFonts w:ascii="Times New Roman" w:hAnsi="Times New Roman" w:cs="Times New Roman"/>
          <w:sz w:val="22"/>
          <w:szCs w:val="22"/>
        </w:rPr>
        <w:t xml:space="preserve"> </w:t>
      </w:r>
      <w:r w:rsidRPr="001359CD">
        <w:rPr>
          <w:rFonts w:ascii="Times New Roman" w:hAnsi="Times New Roman" w:cs="Times New Roman"/>
          <w:sz w:val="22"/>
          <w:szCs w:val="22"/>
        </w:rPr>
        <w:t>this</w:t>
      </w:r>
      <w:r>
        <w:rPr>
          <w:rFonts w:ascii="Times New Roman" w:hAnsi="Times New Roman" w:cs="Times New Roman"/>
          <w:sz w:val="22"/>
          <w:szCs w:val="22"/>
        </w:rPr>
        <w:t xml:space="preserve"> </w:t>
      </w:r>
      <w:r w:rsidRPr="001359CD">
        <w:rPr>
          <w:rFonts w:ascii="Times New Roman" w:hAnsi="Times New Roman" w:cs="Times New Roman"/>
          <w:sz w:val="22"/>
          <w:szCs w:val="22"/>
        </w:rPr>
        <w:t>ruling</w:t>
      </w:r>
      <w:r>
        <w:rPr>
          <w:rFonts w:ascii="Times New Roman" w:hAnsi="Times New Roman" w:cs="Times New Roman"/>
          <w:sz w:val="22"/>
          <w:szCs w:val="22"/>
        </w:rPr>
        <w:t xml:space="preserve"> </w:t>
      </w:r>
      <w:r w:rsidRPr="001359CD">
        <w:rPr>
          <w:rFonts w:ascii="Times New Roman" w:hAnsi="Times New Roman" w:cs="Times New Roman"/>
          <w:sz w:val="22"/>
          <w:szCs w:val="22"/>
        </w:rPr>
        <w:t>will</w:t>
      </w:r>
      <w:r>
        <w:rPr>
          <w:rFonts w:ascii="Times New Roman" w:hAnsi="Times New Roman" w:cs="Times New Roman"/>
          <w:sz w:val="22"/>
          <w:szCs w:val="22"/>
        </w:rPr>
        <w:t xml:space="preserve"> </w:t>
      </w:r>
      <w:r w:rsidRPr="001359CD">
        <w:rPr>
          <w:rFonts w:ascii="Times New Roman" w:hAnsi="Times New Roman" w:cs="Times New Roman"/>
          <w:sz w:val="22"/>
          <w:szCs w:val="22"/>
        </w:rPr>
        <w:t>normally</w:t>
      </w:r>
      <w:r>
        <w:rPr>
          <w:rFonts w:ascii="Times New Roman" w:hAnsi="Times New Roman" w:cs="Times New Roman"/>
          <w:sz w:val="22"/>
          <w:szCs w:val="22"/>
        </w:rPr>
        <w:t xml:space="preserve"> </w:t>
      </w:r>
      <w:r w:rsidRPr="001359CD">
        <w:rPr>
          <w:rFonts w:ascii="Times New Roman" w:hAnsi="Times New Roman" w:cs="Times New Roman"/>
          <w:sz w:val="22"/>
          <w:szCs w:val="22"/>
        </w:rPr>
        <w:t>be</w:t>
      </w:r>
      <w:r>
        <w:rPr>
          <w:rFonts w:ascii="Times New Roman" w:hAnsi="Times New Roman" w:cs="Times New Roman"/>
          <w:sz w:val="22"/>
          <w:szCs w:val="22"/>
        </w:rPr>
        <w:t xml:space="preserve"> </w:t>
      </w:r>
      <w:r w:rsidRPr="001359CD">
        <w:rPr>
          <w:rFonts w:ascii="Times New Roman" w:hAnsi="Times New Roman" w:cs="Times New Roman"/>
          <w:sz w:val="22"/>
          <w:szCs w:val="22"/>
        </w:rPr>
        <w:t>dispositive.</w:t>
      </w:r>
      <w:r>
        <w:rPr>
          <w:rFonts w:ascii="Times New Roman" w:hAnsi="Times New Roman" w:cs="Times New Roman"/>
          <w:sz w:val="22"/>
          <w:szCs w:val="22"/>
        </w:rPr>
        <w:t xml:space="preserve">” </w:t>
      </w:r>
      <w:r w:rsidRPr="001359CD">
        <w:rPr>
          <w:rFonts w:ascii="Times New Roman" w:hAnsi="Times New Roman" w:cs="Times New Roman"/>
          <w:sz w:val="22"/>
          <w:szCs w:val="22"/>
        </w:rPr>
        <w:t>(footnotes</w:t>
      </w:r>
      <w:r>
        <w:rPr>
          <w:rFonts w:ascii="Times New Roman" w:hAnsi="Times New Roman" w:cs="Times New Roman"/>
          <w:sz w:val="22"/>
          <w:szCs w:val="22"/>
        </w:rPr>
        <w:t xml:space="preserve"> </w:t>
      </w:r>
      <w:r w:rsidRPr="001359CD">
        <w:rPr>
          <w:rFonts w:ascii="Times New Roman" w:hAnsi="Times New Roman" w:cs="Times New Roman"/>
          <w:sz w:val="22"/>
          <w:szCs w:val="22"/>
        </w:rPr>
        <w:t>omitted))</w:t>
      </w:r>
      <w:r>
        <w:rPr>
          <w:rFonts w:ascii="Times New Roman" w:hAnsi="Times New Roman" w:cs="Times New Roman"/>
          <w:sz w:val="22"/>
          <w:szCs w:val="22"/>
        </w:rPr>
        <w:t>.</w:t>
      </w:r>
    </w:p>
    <w:p w14:paraId="2CD22F4F" w14:textId="77777777" w:rsidR="00434620" w:rsidRPr="00480F3A" w:rsidRDefault="00434620">
      <w:pPr>
        <w:pStyle w:val="EndnoteText"/>
        <w:rPr>
          <w:rFonts w:ascii="Times New Roman" w:hAnsi="Times New Roman" w:cs="Times New Roman"/>
          <w:sz w:val="22"/>
          <w:szCs w:val="22"/>
        </w:rPr>
      </w:pPr>
    </w:p>
  </w:endnote>
  <w:endnote w:id="33">
    <w:p w14:paraId="166DBFB8" w14:textId="53D123DE" w:rsidR="00434620" w:rsidRDefault="00434620">
      <w:pPr>
        <w:pStyle w:val="EndnoteText"/>
        <w:rPr>
          <w:rFonts w:ascii="Times New Roman" w:hAnsi="Times New Roman" w:cs="Times New Roman"/>
          <w:sz w:val="22"/>
          <w:szCs w:val="22"/>
        </w:rPr>
      </w:pPr>
      <w:r w:rsidRPr="00480F3A">
        <w:rPr>
          <w:rStyle w:val="EndnoteReference"/>
          <w:rFonts w:ascii="Times New Roman" w:hAnsi="Times New Roman" w:cs="Times New Roman"/>
          <w:sz w:val="22"/>
          <w:szCs w:val="22"/>
        </w:rPr>
        <w:endnoteRef/>
      </w:r>
      <w:r w:rsidRPr="00480F3A">
        <w:rPr>
          <w:rFonts w:ascii="Times New Roman" w:hAnsi="Times New Roman" w:cs="Times New Roman"/>
          <w:sz w:val="22"/>
          <w:szCs w:val="22"/>
        </w:rPr>
        <w:t xml:space="preserve"> </w:t>
      </w:r>
      <w:r w:rsidRPr="00654304">
        <w:rPr>
          <w:rFonts w:ascii="Times New Roman" w:hAnsi="Times New Roman" w:cs="Times New Roman"/>
          <w:i/>
          <w:sz w:val="22"/>
          <w:szCs w:val="22"/>
        </w:rPr>
        <w:t>See</w:t>
      </w:r>
      <w:r>
        <w:rPr>
          <w:rFonts w:ascii="Times New Roman" w:hAnsi="Times New Roman" w:cs="Times New Roman"/>
          <w:sz w:val="22"/>
          <w:szCs w:val="22"/>
        </w:rPr>
        <w:t xml:space="preserve"> </w:t>
      </w:r>
      <w:r w:rsidRPr="00480F3A">
        <w:rPr>
          <w:rFonts w:ascii="Times New Roman" w:hAnsi="Times New Roman" w:cs="Times New Roman"/>
          <w:sz w:val="22"/>
          <w:szCs w:val="22"/>
        </w:rPr>
        <w:t>N</w:t>
      </w:r>
      <w:r>
        <w:rPr>
          <w:rFonts w:ascii="Times New Roman" w:hAnsi="Times New Roman" w:cs="Times New Roman"/>
          <w:sz w:val="22"/>
          <w:szCs w:val="22"/>
        </w:rPr>
        <w:t>eil</w:t>
      </w:r>
      <w:r w:rsidRPr="00480F3A">
        <w:rPr>
          <w:rFonts w:ascii="Times New Roman" w:hAnsi="Times New Roman" w:cs="Times New Roman"/>
          <w:sz w:val="22"/>
          <w:szCs w:val="22"/>
        </w:rPr>
        <w:t xml:space="preserve"> A. </w:t>
      </w:r>
      <w:r>
        <w:rPr>
          <w:rFonts w:ascii="Times New Roman" w:hAnsi="Times New Roman" w:cs="Times New Roman"/>
          <w:sz w:val="22"/>
          <w:szCs w:val="22"/>
        </w:rPr>
        <w:t>Doherty</w:t>
      </w:r>
      <w:r w:rsidRPr="00480F3A">
        <w:rPr>
          <w:rFonts w:ascii="Times New Roman" w:hAnsi="Times New Roman" w:cs="Times New Roman"/>
          <w:sz w:val="22"/>
          <w:szCs w:val="22"/>
        </w:rPr>
        <w:t xml:space="preserve"> and G</w:t>
      </w:r>
      <w:r>
        <w:rPr>
          <w:rFonts w:ascii="Times New Roman" w:hAnsi="Times New Roman" w:cs="Times New Roman"/>
          <w:sz w:val="22"/>
          <w:szCs w:val="22"/>
        </w:rPr>
        <w:t>eorges</w:t>
      </w:r>
      <w:r w:rsidRPr="00480F3A">
        <w:rPr>
          <w:rFonts w:ascii="Times New Roman" w:hAnsi="Times New Roman" w:cs="Times New Roman"/>
          <w:sz w:val="22"/>
          <w:szCs w:val="22"/>
        </w:rPr>
        <w:t xml:space="preserve"> D</w:t>
      </w:r>
      <w:r>
        <w:rPr>
          <w:rFonts w:ascii="Times New Roman" w:hAnsi="Times New Roman" w:cs="Times New Roman"/>
          <w:sz w:val="22"/>
          <w:szCs w:val="22"/>
        </w:rPr>
        <w:t xml:space="preserve">ionne, </w:t>
      </w:r>
      <w:r w:rsidRPr="00AB00F0">
        <w:rPr>
          <w:rFonts w:ascii="Times New Roman" w:hAnsi="Times New Roman" w:cs="Times New Roman"/>
          <w:i/>
          <w:sz w:val="22"/>
          <w:szCs w:val="22"/>
        </w:rPr>
        <w:t>Insurance with Undiversifiable Risk: Contract Structure and Organizational Form of Insurance Firms</w:t>
      </w:r>
      <w:r>
        <w:rPr>
          <w:rFonts w:ascii="Times New Roman" w:hAnsi="Times New Roman" w:cs="Times New Roman"/>
          <w:sz w:val="22"/>
          <w:szCs w:val="22"/>
        </w:rPr>
        <w:t xml:space="preserve">, </w:t>
      </w:r>
      <w:r w:rsidRPr="00AB00F0">
        <w:rPr>
          <w:rFonts w:ascii="Times New Roman" w:hAnsi="Times New Roman" w:cs="Times New Roman"/>
          <w:sz w:val="22"/>
          <w:szCs w:val="22"/>
        </w:rPr>
        <w:t>Journal of Risk and Uncertainty, Vol. 6, No. 2 (1993), pp. 187-203</w:t>
      </w:r>
      <w:r>
        <w:rPr>
          <w:rFonts w:ascii="Times New Roman" w:hAnsi="Times New Roman" w:cs="Times New Roman"/>
          <w:sz w:val="22"/>
          <w:szCs w:val="22"/>
        </w:rPr>
        <w:t>.  In this article, the authors explain that, “[For many different types of insur</w:t>
      </w:r>
      <w:r w:rsidRPr="00982D73">
        <w:rPr>
          <w:rFonts w:ascii="Times New Roman" w:hAnsi="Times New Roman" w:cs="Times New Roman"/>
          <w:sz w:val="22"/>
          <w:szCs w:val="22"/>
        </w:rPr>
        <w:t>ance</w:t>
      </w:r>
      <w:r>
        <w:rPr>
          <w:rFonts w:ascii="Times New Roman" w:hAnsi="Times New Roman" w:cs="Times New Roman"/>
          <w:sz w:val="22"/>
          <w:szCs w:val="22"/>
        </w:rPr>
        <w:t>]</w:t>
      </w:r>
      <w:r w:rsidRPr="00982D73">
        <w:rPr>
          <w:rFonts w:ascii="Times New Roman" w:hAnsi="Times New Roman" w:cs="Times New Roman"/>
          <w:sz w:val="22"/>
          <w:szCs w:val="22"/>
        </w:rPr>
        <w:t>, there has been a proliferation of new firms such as mutua</w:t>
      </w:r>
      <w:r>
        <w:rPr>
          <w:rFonts w:ascii="Times New Roman" w:hAnsi="Times New Roman" w:cs="Times New Roman"/>
          <w:sz w:val="22"/>
          <w:szCs w:val="22"/>
        </w:rPr>
        <w:t>l</w:t>
      </w:r>
      <w:r w:rsidRPr="00982D73">
        <w:rPr>
          <w:rFonts w:ascii="Times New Roman" w:hAnsi="Times New Roman" w:cs="Times New Roman"/>
          <w:sz w:val="22"/>
          <w:szCs w:val="22"/>
        </w:rPr>
        <w:t xml:space="preserve">s, reciprocals, captive insurance companies, and risk retention groups. The essential feature of these </w:t>
      </w:r>
      <w:r w:rsidRPr="006A0B83">
        <w:rPr>
          <w:rFonts w:ascii="Times New Roman" w:hAnsi="Times New Roman" w:cs="Times New Roman"/>
          <w:sz w:val="22"/>
          <w:szCs w:val="22"/>
        </w:rPr>
        <w:t xml:space="preserve">organizational forms is that they are owned by their policyholders.”  </w:t>
      </w:r>
      <w:r w:rsidRPr="006A0B83">
        <w:rPr>
          <w:rFonts w:ascii="Times New Roman" w:hAnsi="Times New Roman" w:cs="Times New Roman"/>
          <w:i/>
          <w:sz w:val="22"/>
          <w:szCs w:val="22"/>
        </w:rPr>
        <w:t>Id</w:t>
      </w:r>
      <w:r w:rsidRPr="006A0B83">
        <w:rPr>
          <w:rFonts w:ascii="Times New Roman" w:hAnsi="Times New Roman" w:cs="Times New Roman"/>
          <w:sz w:val="22"/>
          <w:szCs w:val="22"/>
        </w:rPr>
        <w:t>. at p. 187.  The authors further explain as follows:</w:t>
      </w:r>
      <w:r>
        <w:rPr>
          <w:rFonts w:ascii="Times New Roman" w:hAnsi="Times New Roman" w:cs="Times New Roman"/>
          <w:sz w:val="22"/>
          <w:szCs w:val="22"/>
        </w:rPr>
        <w:t xml:space="preserve"> </w:t>
      </w:r>
      <w:r w:rsidRPr="006A0B83">
        <w:rPr>
          <w:rFonts w:ascii="Times New Roman" w:hAnsi="Times New Roman" w:cs="Times New Roman"/>
          <w:sz w:val="22"/>
          <w:szCs w:val="22"/>
        </w:rPr>
        <w:t xml:space="preserve"> </w:t>
      </w:r>
      <w:r>
        <w:rPr>
          <w:rFonts w:ascii="Times New Roman" w:hAnsi="Times New Roman" w:cs="Times New Roman"/>
          <w:sz w:val="22"/>
          <w:szCs w:val="22"/>
        </w:rPr>
        <w:t>“</w:t>
      </w:r>
      <w:r w:rsidRPr="006A0B83">
        <w:rPr>
          <w:rFonts w:ascii="Times New Roman" w:hAnsi="Times New Roman" w:cs="Times New Roman"/>
          <w:sz w:val="22"/>
          <w:szCs w:val="22"/>
        </w:rPr>
        <w:t>[There was] a dramatic increase in the market share of the mutuals medical malpractice insurance market after the mid-1970s.  A more dramatic example is the pollution insurance market, which all but disappeared in 1984-1985 only to show some signs of revival with the emergence of “mutual-like” pools organized by the major brokers. Similar innovations have also appeared in earthquake insurance. These structures</w:t>
      </w:r>
      <w:r w:rsidRPr="00FC7861">
        <w:rPr>
          <w:rFonts w:ascii="Times New Roman" w:hAnsi="Times New Roman" w:cs="Times New Roman"/>
          <w:sz w:val="22"/>
          <w:szCs w:val="22"/>
        </w:rPr>
        <w:t xml:space="preserve"> share the common feature</w:t>
      </w:r>
      <w:r>
        <w:rPr>
          <w:rFonts w:ascii="Times New Roman" w:hAnsi="Times New Roman" w:cs="Times New Roman"/>
          <w:sz w:val="22"/>
          <w:szCs w:val="22"/>
        </w:rPr>
        <w:t xml:space="preserve"> of combining the </w:t>
      </w:r>
      <w:r w:rsidRPr="00E1168F">
        <w:rPr>
          <w:rFonts w:ascii="Times New Roman" w:hAnsi="Times New Roman" w:cs="Times New Roman"/>
          <w:sz w:val="22"/>
          <w:szCs w:val="22"/>
        </w:rPr>
        <w:t xml:space="preserve">equityholder and policyholder functions, </w:t>
      </w:r>
      <w:r>
        <w:rPr>
          <w:rFonts w:ascii="Times New Roman" w:hAnsi="Times New Roman" w:cs="Times New Roman"/>
          <w:sz w:val="22"/>
          <w:szCs w:val="22"/>
        </w:rPr>
        <w:t xml:space="preserve">thereby allocating residual claims on the insurance </w:t>
      </w:r>
      <w:r w:rsidRPr="00E1168F">
        <w:rPr>
          <w:rFonts w:ascii="Times New Roman" w:hAnsi="Times New Roman" w:cs="Times New Roman"/>
          <w:sz w:val="22"/>
          <w:szCs w:val="22"/>
        </w:rPr>
        <w:t xml:space="preserve">pool to the policyholders. Risk </w:t>
      </w:r>
      <w:r>
        <w:rPr>
          <w:rFonts w:ascii="Times New Roman" w:hAnsi="Times New Roman" w:cs="Times New Roman"/>
          <w:sz w:val="22"/>
          <w:szCs w:val="22"/>
        </w:rPr>
        <w:t xml:space="preserve">is pooled amongst those who are commonly exposed rather </w:t>
      </w:r>
      <w:r w:rsidRPr="00E1168F">
        <w:rPr>
          <w:rFonts w:ascii="Times New Roman" w:hAnsi="Times New Roman" w:cs="Times New Roman"/>
          <w:sz w:val="22"/>
          <w:szCs w:val="22"/>
        </w:rPr>
        <w:t xml:space="preserve">than transferred to external risk </w:t>
      </w:r>
      <w:r>
        <w:rPr>
          <w:rFonts w:ascii="Times New Roman" w:hAnsi="Times New Roman" w:cs="Times New Roman"/>
          <w:sz w:val="22"/>
          <w:szCs w:val="22"/>
        </w:rPr>
        <w:t xml:space="preserve">bearers.  </w:t>
      </w:r>
      <w:r w:rsidRPr="00B06557">
        <w:rPr>
          <w:rFonts w:ascii="Times New Roman" w:hAnsi="Times New Roman" w:cs="Times New Roman"/>
          <w:i/>
          <w:sz w:val="22"/>
          <w:szCs w:val="22"/>
        </w:rPr>
        <w:t>Id</w:t>
      </w:r>
      <w:r>
        <w:rPr>
          <w:rFonts w:ascii="Times New Roman" w:hAnsi="Times New Roman" w:cs="Times New Roman"/>
          <w:sz w:val="22"/>
          <w:szCs w:val="22"/>
        </w:rPr>
        <w:t>. at pp. 187-188.</w:t>
      </w:r>
    </w:p>
    <w:p w14:paraId="0B60BD67" w14:textId="77777777" w:rsidR="00434620" w:rsidRPr="0080020D" w:rsidRDefault="00434620">
      <w:pPr>
        <w:pStyle w:val="EndnoteText"/>
        <w:rPr>
          <w:rFonts w:ascii="Times New Roman" w:hAnsi="Times New Roman" w:cs="Times New Roman"/>
          <w:sz w:val="22"/>
          <w:szCs w:val="22"/>
        </w:rPr>
      </w:pPr>
    </w:p>
  </w:endnote>
  <w:endnote w:id="34">
    <w:p w14:paraId="194EDDCE" w14:textId="77777777" w:rsidR="00434620" w:rsidRDefault="00434620">
      <w:pPr>
        <w:pStyle w:val="EndnoteText"/>
        <w:rPr>
          <w:rFonts w:ascii="Times New Roman" w:hAnsi="Times New Roman" w:cs="Times New Roman"/>
          <w:sz w:val="22"/>
          <w:szCs w:val="22"/>
        </w:rPr>
      </w:pPr>
      <w:r w:rsidRPr="0080020D">
        <w:rPr>
          <w:rStyle w:val="EndnoteReference"/>
          <w:rFonts w:ascii="Times New Roman" w:hAnsi="Times New Roman" w:cs="Times New Roman"/>
          <w:sz w:val="22"/>
          <w:szCs w:val="22"/>
        </w:rPr>
        <w:endnoteRef/>
      </w:r>
      <w:r w:rsidRPr="0080020D">
        <w:rPr>
          <w:rFonts w:ascii="Times New Roman" w:hAnsi="Times New Roman" w:cs="Times New Roman"/>
          <w:sz w:val="22"/>
          <w:szCs w:val="22"/>
        </w:rPr>
        <w:t xml:space="preserve"> </w:t>
      </w:r>
      <w:r w:rsidRPr="00654304">
        <w:rPr>
          <w:rFonts w:ascii="Times New Roman" w:hAnsi="Times New Roman" w:cs="Times New Roman"/>
          <w:i/>
          <w:sz w:val="22"/>
          <w:szCs w:val="22"/>
        </w:rPr>
        <w:t>See</w:t>
      </w:r>
      <w:r>
        <w:rPr>
          <w:rFonts w:ascii="Times New Roman" w:hAnsi="Times New Roman" w:cs="Times New Roman"/>
          <w:sz w:val="22"/>
          <w:szCs w:val="22"/>
        </w:rPr>
        <w:t xml:space="preserve"> A.M. Best article</w:t>
      </w:r>
      <w:r w:rsidRPr="009E3327">
        <w:rPr>
          <w:rFonts w:ascii="Times New Roman" w:hAnsi="Times New Roman" w:cs="Times New Roman"/>
          <w:sz w:val="22"/>
          <w:szCs w:val="22"/>
        </w:rPr>
        <w:t xml:space="preserve">, </w:t>
      </w:r>
      <w:r w:rsidRPr="007C262D">
        <w:rPr>
          <w:rFonts w:ascii="Times New Roman" w:hAnsi="Times New Roman" w:cs="Times New Roman"/>
          <w:i/>
          <w:sz w:val="22"/>
          <w:szCs w:val="22"/>
        </w:rPr>
        <w:t>Rating Reinsurance Pools</w:t>
      </w:r>
      <w:r>
        <w:rPr>
          <w:rFonts w:ascii="Times New Roman" w:hAnsi="Times New Roman" w:cs="Times New Roman"/>
          <w:sz w:val="22"/>
          <w:szCs w:val="22"/>
        </w:rPr>
        <w:t>,</w:t>
      </w:r>
      <w:r w:rsidRPr="009E3327">
        <w:rPr>
          <w:rFonts w:ascii="Times New Roman" w:hAnsi="Times New Roman" w:cs="Times New Roman"/>
          <w:sz w:val="22"/>
          <w:szCs w:val="22"/>
        </w:rPr>
        <w:t xml:space="preserve"> </w:t>
      </w:r>
      <w:r>
        <w:rPr>
          <w:rFonts w:ascii="Times New Roman" w:hAnsi="Times New Roman" w:cs="Times New Roman"/>
          <w:sz w:val="22"/>
          <w:szCs w:val="22"/>
        </w:rPr>
        <w:t>October 13</w:t>
      </w:r>
      <w:r w:rsidRPr="009E3327">
        <w:rPr>
          <w:rFonts w:ascii="Times New Roman" w:hAnsi="Times New Roman" w:cs="Times New Roman"/>
          <w:sz w:val="22"/>
          <w:szCs w:val="22"/>
        </w:rPr>
        <w:t>, 201</w:t>
      </w:r>
      <w:r>
        <w:rPr>
          <w:rFonts w:ascii="Times New Roman" w:hAnsi="Times New Roman" w:cs="Times New Roman"/>
          <w:sz w:val="22"/>
          <w:szCs w:val="22"/>
        </w:rPr>
        <w:t>7</w:t>
      </w:r>
      <w:r w:rsidRPr="009E3327">
        <w:rPr>
          <w:rFonts w:ascii="Times New Roman" w:hAnsi="Times New Roman" w:cs="Times New Roman"/>
          <w:sz w:val="22"/>
          <w:szCs w:val="22"/>
        </w:rPr>
        <w:t xml:space="preserve">. </w:t>
      </w:r>
      <w:r>
        <w:rPr>
          <w:rFonts w:ascii="Times New Roman" w:hAnsi="Times New Roman" w:cs="Times New Roman"/>
          <w:sz w:val="22"/>
          <w:szCs w:val="22"/>
        </w:rPr>
        <w:t xml:space="preserve"> This </w:t>
      </w:r>
      <w:r w:rsidRPr="009E3327">
        <w:rPr>
          <w:rFonts w:ascii="Times New Roman" w:hAnsi="Times New Roman" w:cs="Times New Roman"/>
          <w:sz w:val="22"/>
          <w:szCs w:val="22"/>
        </w:rPr>
        <w:t xml:space="preserve">article can be viewed </w:t>
      </w:r>
      <w:hyperlink r:id="rId3" w:history="1">
        <w:r w:rsidRPr="00C143CF">
          <w:rPr>
            <w:rStyle w:val="Hyperlink"/>
            <w:rFonts w:ascii="Times New Roman" w:hAnsi="Times New Roman" w:cs="Times New Roman"/>
            <w:sz w:val="22"/>
            <w:szCs w:val="22"/>
          </w:rPr>
          <w:t>here</w:t>
        </w:r>
      </w:hyperlink>
      <w:r w:rsidRPr="009E3327">
        <w:rPr>
          <w:rFonts w:ascii="Times New Roman" w:hAnsi="Times New Roman" w:cs="Times New Roman"/>
          <w:sz w:val="22"/>
          <w:szCs w:val="22"/>
        </w:rPr>
        <w:t xml:space="preserve">. </w:t>
      </w:r>
      <w:r>
        <w:rPr>
          <w:rFonts w:ascii="Times New Roman" w:hAnsi="Times New Roman" w:cs="Times New Roman"/>
          <w:sz w:val="22"/>
          <w:szCs w:val="22"/>
        </w:rPr>
        <w:t xml:space="preserve"> At page 3, the authors describe the structure of reinsurance pools as follows: “Reinsurance pools can be structured and governed in different ways.  There are pools that are incorporated companies, licensed and registered within a jurisdiction and subject to local regulatory requirements, which operate in a similar manner to that of a reinsurance company.  Conversely, there are pools known as policy issuing entities that may have no hard capital commitments and are based on the principle of reciprocal reinsurance, as outlined in a contractual agreement among members, the pool manager and its cedants.”</w:t>
      </w:r>
    </w:p>
    <w:p w14:paraId="019FE2F5" w14:textId="77777777" w:rsidR="00434620" w:rsidRDefault="00434620">
      <w:pPr>
        <w:pStyle w:val="EndnoteText"/>
        <w:rPr>
          <w:rFonts w:ascii="Times New Roman" w:hAnsi="Times New Roman" w:cs="Times New Roman"/>
          <w:sz w:val="22"/>
          <w:szCs w:val="22"/>
        </w:rPr>
      </w:pPr>
    </w:p>
    <w:p w14:paraId="6DD2908A" w14:textId="77777777" w:rsidR="00434620" w:rsidRPr="00444B1B" w:rsidRDefault="00434620" w:rsidP="0097333D">
      <w:pPr>
        <w:pStyle w:val="EndnoteText"/>
        <w:rPr>
          <w:rFonts w:ascii="Times New Roman" w:hAnsi="Times New Roman" w:cs="Times New Roman"/>
          <w:sz w:val="22"/>
          <w:szCs w:val="22"/>
        </w:rPr>
      </w:pPr>
      <w:r w:rsidRPr="005E1EDD">
        <w:rPr>
          <w:rFonts w:ascii="Times New Roman" w:hAnsi="Times New Roman" w:cs="Times New Roman"/>
          <w:i/>
          <w:sz w:val="22"/>
          <w:szCs w:val="22"/>
        </w:rPr>
        <w:t>See also</w:t>
      </w:r>
      <w:r>
        <w:rPr>
          <w:rFonts w:ascii="Times New Roman" w:hAnsi="Times New Roman" w:cs="Times New Roman"/>
          <w:sz w:val="22"/>
          <w:szCs w:val="22"/>
        </w:rPr>
        <w:t xml:space="preserve"> Ernst &amp; Young, </w:t>
      </w:r>
      <w:r w:rsidRPr="00444B1B">
        <w:rPr>
          <w:rFonts w:ascii="Times New Roman" w:hAnsi="Times New Roman" w:cs="Times New Roman"/>
          <w:i/>
          <w:sz w:val="22"/>
          <w:szCs w:val="22"/>
        </w:rPr>
        <w:t>Study on co(re)insurance pools and on ad-hoc co(re)insurance agreements on the subscription market</w:t>
      </w:r>
      <w:r>
        <w:rPr>
          <w:rFonts w:ascii="Times New Roman" w:hAnsi="Times New Roman" w:cs="Times New Roman"/>
          <w:sz w:val="22"/>
          <w:szCs w:val="22"/>
        </w:rPr>
        <w:t xml:space="preserve">, </w:t>
      </w:r>
      <w:r w:rsidRPr="00444B1B">
        <w:rPr>
          <w:rFonts w:ascii="Times New Roman" w:hAnsi="Times New Roman" w:cs="Times New Roman"/>
          <w:sz w:val="22"/>
          <w:szCs w:val="22"/>
        </w:rPr>
        <w:t>New Edition July 2014</w:t>
      </w:r>
      <w:r>
        <w:rPr>
          <w:rFonts w:ascii="Times New Roman" w:hAnsi="Times New Roman" w:cs="Times New Roman"/>
          <w:sz w:val="22"/>
          <w:szCs w:val="22"/>
        </w:rPr>
        <w:t>, pages 44-46.  This study identifies</w:t>
      </w:r>
      <w:r w:rsidRPr="002F4A60">
        <w:t xml:space="preserve"> </w:t>
      </w:r>
      <w:r w:rsidRPr="006C012B">
        <w:rPr>
          <w:rFonts w:ascii="Times New Roman" w:hAnsi="Times New Roman" w:cs="Times New Roman"/>
          <w:b/>
          <w:sz w:val="22"/>
          <w:szCs w:val="22"/>
        </w:rPr>
        <w:t>three main types of contractual reinsurance pooling arrangements</w:t>
      </w:r>
      <w:r w:rsidRPr="002F4A60">
        <w:rPr>
          <w:rFonts w:ascii="Times New Roman" w:hAnsi="Times New Roman" w:cs="Times New Roman"/>
          <w:sz w:val="22"/>
          <w:szCs w:val="22"/>
        </w:rPr>
        <w:t xml:space="preserve"> identified by</w:t>
      </w:r>
      <w:r>
        <w:rPr>
          <w:rFonts w:ascii="Times New Roman" w:hAnsi="Times New Roman" w:cs="Times New Roman"/>
          <w:sz w:val="22"/>
          <w:szCs w:val="22"/>
        </w:rPr>
        <w:t xml:space="preserve"> </w:t>
      </w:r>
      <w:r w:rsidRPr="002F4A60">
        <w:rPr>
          <w:rFonts w:ascii="Times New Roman" w:hAnsi="Times New Roman" w:cs="Times New Roman"/>
          <w:sz w:val="22"/>
          <w:szCs w:val="22"/>
        </w:rPr>
        <w:t>respondents:</w:t>
      </w:r>
      <w:r>
        <w:rPr>
          <w:rFonts w:ascii="Times New Roman" w:hAnsi="Times New Roman" w:cs="Times New Roman"/>
          <w:sz w:val="22"/>
          <w:szCs w:val="22"/>
        </w:rPr>
        <w:t xml:space="preserve"> (1) </w:t>
      </w:r>
      <w:r>
        <w:rPr>
          <w:rFonts w:ascii="Times New Roman" w:hAnsi="Times New Roman" w:cs="Times New Roman"/>
          <w:sz w:val="22"/>
          <w:szCs w:val="22"/>
          <w:u w:val="single"/>
        </w:rPr>
        <w:t>C</w:t>
      </w:r>
      <w:r w:rsidRPr="00CC7103">
        <w:rPr>
          <w:rFonts w:ascii="Times New Roman" w:hAnsi="Times New Roman" w:cs="Times New Roman"/>
          <w:sz w:val="22"/>
          <w:szCs w:val="22"/>
          <w:u w:val="single"/>
        </w:rPr>
        <w:t>ollective agreements to assume risk</w:t>
      </w:r>
      <w:r>
        <w:rPr>
          <w:rFonts w:ascii="Times New Roman" w:hAnsi="Times New Roman" w:cs="Times New Roman"/>
          <w:sz w:val="22"/>
          <w:szCs w:val="22"/>
        </w:rPr>
        <w:t xml:space="preserve">, </w:t>
      </w:r>
      <w:r w:rsidRPr="004F2259">
        <w:rPr>
          <w:rFonts w:ascii="Times New Roman" w:hAnsi="Times New Roman" w:cs="Times New Roman"/>
          <w:sz w:val="22"/>
          <w:szCs w:val="22"/>
        </w:rPr>
        <w:t>whereby an insurer (or an</w:t>
      </w:r>
      <w:r>
        <w:rPr>
          <w:rFonts w:ascii="Times New Roman" w:hAnsi="Times New Roman" w:cs="Times New Roman"/>
          <w:sz w:val="22"/>
          <w:szCs w:val="22"/>
        </w:rPr>
        <w:t xml:space="preserve"> </w:t>
      </w:r>
      <w:r w:rsidRPr="004F2259">
        <w:rPr>
          <w:rFonts w:ascii="Times New Roman" w:hAnsi="Times New Roman" w:cs="Times New Roman"/>
          <w:sz w:val="22"/>
          <w:szCs w:val="22"/>
        </w:rPr>
        <w:t>intermediary holding a delegated authority), rather than accepting in its</w:t>
      </w:r>
      <w:r>
        <w:rPr>
          <w:rFonts w:ascii="Times New Roman" w:hAnsi="Times New Roman" w:cs="Times New Roman"/>
          <w:sz w:val="22"/>
          <w:szCs w:val="22"/>
        </w:rPr>
        <w:t xml:space="preserve"> </w:t>
      </w:r>
      <w:r w:rsidRPr="004F2259">
        <w:rPr>
          <w:rFonts w:ascii="Times New Roman" w:hAnsi="Times New Roman" w:cs="Times New Roman"/>
          <w:sz w:val="22"/>
          <w:szCs w:val="22"/>
        </w:rPr>
        <w:t>own name an insurance or reinsurance risk of a defined type, accepts it in</w:t>
      </w:r>
      <w:r>
        <w:rPr>
          <w:rFonts w:ascii="Times New Roman" w:hAnsi="Times New Roman" w:cs="Times New Roman"/>
          <w:sz w:val="22"/>
          <w:szCs w:val="22"/>
        </w:rPr>
        <w:t xml:space="preserve"> </w:t>
      </w:r>
      <w:r w:rsidRPr="004F2259">
        <w:rPr>
          <w:rFonts w:ascii="Times New Roman" w:hAnsi="Times New Roman" w:cs="Times New Roman"/>
          <w:sz w:val="22"/>
          <w:szCs w:val="22"/>
        </w:rPr>
        <w:t>the name of and for the account of all of the participating insurers, the risk</w:t>
      </w:r>
      <w:r>
        <w:rPr>
          <w:rFonts w:ascii="Times New Roman" w:hAnsi="Times New Roman" w:cs="Times New Roman"/>
          <w:sz w:val="22"/>
          <w:szCs w:val="22"/>
        </w:rPr>
        <w:t xml:space="preserve"> </w:t>
      </w:r>
      <w:r w:rsidRPr="004F2259">
        <w:rPr>
          <w:rFonts w:ascii="Times New Roman" w:hAnsi="Times New Roman" w:cs="Times New Roman"/>
          <w:sz w:val="22"/>
          <w:szCs w:val="22"/>
        </w:rPr>
        <w:t>being shared between the members on a several basis, in accordance with</w:t>
      </w:r>
      <w:r>
        <w:rPr>
          <w:rFonts w:ascii="Times New Roman" w:hAnsi="Times New Roman" w:cs="Times New Roman"/>
          <w:sz w:val="22"/>
          <w:szCs w:val="22"/>
        </w:rPr>
        <w:t xml:space="preserve"> </w:t>
      </w:r>
      <w:r w:rsidRPr="004F2259">
        <w:rPr>
          <w:rFonts w:ascii="Times New Roman" w:hAnsi="Times New Roman" w:cs="Times New Roman"/>
          <w:sz w:val="22"/>
          <w:szCs w:val="22"/>
        </w:rPr>
        <w:t>the pool agreement</w:t>
      </w:r>
      <w:r>
        <w:rPr>
          <w:rFonts w:ascii="Times New Roman" w:hAnsi="Times New Roman" w:cs="Times New Roman"/>
          <w:sz w:val="22"/>
          <w:szCs w:val="22"/>
        </w:rPr>
        <w:t xml:space="preserve">; (2) </w:t>
      </w:r>
      <w:r w:rsidRPr="00DE406F">
        <w:rPr>
          <w:rFonts w:ascii="Times New Roman" w:hAnsi="Times New Roman" w:cs="Times New Roman"/>
          <w:sz w:val="22"/>
          <w:szCs w:val="22"/>
          <w:u w:val="single"/>
        </w:rPr>
        <w:t>Multilateral reinsurance contracts</w:t>
      </w:r>
      <w:r w:rsidRPr="00DE406F">
        <w:rPr>
          <w:rFonts w:ascii="Times New Roman" w:hAnsi="Times New Roman" w:cs="Times New Roman"/>
          <w:sz w:val="22"/>
          <w:szCs w:val="22"/>
        </w:rPr>
        <w:t xml:space="preserve"> – this type of pool involves members</w:t>
      </w:r>
      <w:r>
        <w:rPr>
          <w:rFonts w:ascii="Times New Roman" w:hAnsi="Times New Roman" w:cs="Times New Roman"/>
          <w:sz w:val="22"/>
          <w:szCs w:val="22"/>
        </w:rPr>
        <w:t xml:space="preserve"> </w:t>
      </w:r>
      <w:r w:rsidRPr="00DE406F">
        <w:rPr>
          <w:rFonts w:ascii="Times New Roman" w:hAnsi="Times New Roman" w:cs="Times New Roman"/>
          <w:sz w:val="22"/>
          <w:szCs w:val="22"/>
        </w:rPr>
        <w:t>reinsuring risks into the pool and accepting retrocession out again,</w:t>
      </w:r>
      <w:r>
        <w:rPr>
          <w:rFonts w:ascii="Times New Roman" w:hAnsi="Times New Roman" w:cs="Times New Roman"/>
          <w:sz w:val="22"/>
          <w:szCs w:val="22"/>
        </w:rPr>
        <w:t xml:space="preserve"> </w:t>
      </w:r>
      <w:r w:rsidRPr="00DE406F">
        <w:rPr>
          <w:rFonts w:ascii="Times New Roman" w:hAnsi="Times New Roman" w:cs="Times New Roman"/>
          <w:sz w:val="22"/>
          <w:szCs w:val="22"/>
        </w:rPr>
        <w:t>possibly with the benefit of external retrocession arranged for the pool</w:t>
      </w:r>
      <w:r>
        <w:rPr>
          <w:rFonts w:ascii="Times New Roman" w:hAnsi="Times New Roman" w:cs="Times New Roman"/>
          <w:sz w:val="22"/>
          <w:szCs w:val="22"/>
        </w:rPr>
        <w:t xml:space="preserve"> </w:t>
      </w:r>
      <w:r w:rsidRPr="00DE406F">
        <w:rPr>
          <w:rFonts w:ascii="Times New Roman" w:hAnsi="Times New Roman" w:cs="Times New Roman"/>
          <w:sz w:val="22"/>
          <w:szCs w:val="22"/>
        </w:rPr>
        <w:t>collectively</w:t>
      </w:r>
      <w:r>
        <w:rPr>
          <w:rFonts w:ascii="Times New Roman" w:hAnsi="Times New Roman" w:cs="Times New Roman"/>
          <w:sz w:val="22"/>
          <w:szCs w:val="22"/>
        </w:rPr>
        <w:t xml:space="preserve">; and (3) </w:t>
      </w:r>
      <w:r w:rsidRPr="000C6BED">
        <w:rPr>
          <w:rFonts w:ascii="Times New Roman" w:hAnsi="Times New Roman" w:cs="Times New Roman"/>
          <w:sz w:val="22"/>
          <w:szCs w:val="22"/>
          <w:u w:val="single"/>
        </w:rPr>
        <w:t>Broker-led arrangements (intermediary pools)</w:t>
      </w:r>
      <w:r>
        <w:rPr>
          <w:rFonts w:ascii="Times New Roman" w:hAnsi="Times New Roman" w:cs="Times New Roman"/>
          <w:sz w:val="22"/>
          <w:szCs w:val="22"/>
        </w:rPr>
        <w:t xml:space="preserve"> – u</w:t>
      </w:r>
      <w:r w:rsidRPr="000C6BED">
        <w:rPr>
          <w:rFonts w:ascii="Times New Roman" w:hAnsi="Times New Roman" w:cs="Times New Roman"/>
          <w:sz w:val="22"/>
          <w:szCs w:val="22"/>
        </w:rPr>
        <w:t>nder this</w:t>
      </w:r>
      <w:r>
        <w:rPr>
          <w:rFonts w:ascii="Times New Roman" w:hAnsi="Times New Roman" w:cs="Times New Roman"/>
          <w:sz w:val="22"/>
          <w:szCs w:val="22"/>
        </w:rPr>
        <w:t xml:space="preserve"> </w:t>
      </w:r>
      <w:r w:rsidRPr="000C6BED">
        <w:rPr>
          <w:rFonts w:ascii="Times New Roman" w:hAnsi="Times New Roman" w:cs="Times New Roman"/>
          <w:sz w:val="22"/>
          <w:szCs w:val="22"/>
        </w:rPr>
        <w:t>arrangement, brokers or authorized agents agree separately with insurers</w:t>
      </w:r>
      <w:r>
        <w:rPr>
          <w:rFonts w:ascii="Times New Roman" w:hAnsi="Times New Roman" w:cs="Times New Roman"/>
          <w:sz w:val="22"/>
          <w:szCs w:val="22"/>
        </w:rPr>
        <w:t xml:space="preserve"> </w:t>
      </w:r>
      <w:r w:rsidRPr="000C6BED">
        <w:rPr>
          <w:rFonts w:ascii="Times New Roman" w:hAnsi="Times New Roman" w:cs="Times New Roman"/>
          <w:sz w:val="22"/>
          <w:szCs w:val="22"/>
        </w:rPr>
        <w:t>to take pre</w:t>
      </w:r>
      <w:r>
        <w:rPr>
          <w:rFonts w:ascii="Times New Roman" w:hAnsi="Times New Roman" w:cs="Times New Roman"/>
          <w:sz w:val="22"/>
          <w:szCs w:val="22"/>
        </w:rPr>
        <w:t>-</w:t>
      </w:r>
      <w:r w:rsidRPr="000C6BED">
        <w:rPr>
          <w:rFonts w:ascii="Times New Roman" w:hAnsi="Times New Roman" w:cs="Times New Roman"/>
          <w:sz w:val="22"/>
          <w:szCs w:val="22"/>
        </w:rPr>
        <w:t>agreed percentages of business sold by the intermediaries,</w:t>
      </w:r>
      <w:r>
        <w:rPr>
          <w:rFonts w:ascii="Times New Roman" w:hAnsi="Times New Roman" w:cs="Times New Roman"/>
          <w:sz w:val="22"/>
          <w:szCs w:val="22"/>
        </w:rPr>
        <w:t xml:space="preserve"> </w:t>
      </w:r>
      <w:r w:rsidRPr="000C6BED">
        <w:rPr>
          <w:rFonts w:ascii="Times New Roman" w:hAnsi="Times New Roman" w:cs="Times New Roman"/>
          <w:sz w:val="22"/>
          <w:szCs w:val="22"/>
        </w:rPr>
        <w:t xml:space="preserve">potentially subject to acceptance by a lead insurer. </w:t>
      </w:r>
      <w:r>
        <w:rPr>
          <w:rFonts w:ascii="Times New Roman" w:hAnsi="Times New Roman" w:cs="Times New Roman"/>
          <w:sz w:val="22"/>
          <w:szCs w:val="22"/>
        </w:rPr>
        <w:t>S</w:t>
      </w:r>
      <w:r w:rsidRPr="000C6BED">
        <w:rPr>
          <w:rFonts w:ascii="Times New Roman" w:hAnsi="Times New Roman" w:cs="Times New Roman"/>
          <w:sz w:val="22"/>
          <w:szCs w:val="22"/>
        </w:rPr>
        <w:t>uch arrangements are organized by the intermediary and not by</w:t>
      </w:r>
      <w:r>
        <w:rPr>
          <w:rFonts w:ascii="Times New Roman" w:hAnsi="Times New Roman" w:cs="Times New Roman"/>
          <w:sz w:val="22"/>
          <w:szCs w:val="22"/>
        </w:rPr>
        <w:t xml:space="preserve"> </w:t>
      </w:r>
      <w:r w:rsidRPr="000C6BED">
        <w:rPr>
          <w:rFonts w:ascii="Times New Roman" w:hAnsi="Times New Roman" w:cs="Times New Roman"/>
          <w:sz w:val="22"/>
          <w:szCs w:val="22"/>
        </w:rPr>
        <w:t>the insurers.</w:t>
      </w:r>
      <w:r>
        <w:rPr>
          <w:rFonts w:ascii="Times New Roman" w:hAnsi="Times New Roman" w:cs="Times New Roman"/>
          <w:sz w:val="22"/>
          <w:szCs w:val="22"/>
        </w:rPr>
        <w:t xml:space="preserve">  This study recognizes that “a</w:t>
      </w:r>
      <w:r w:rsidRPr="00BC2B58">
        <w:rPr>
          <w:rFonts w:ascii="Times New Roman" w:hAnsi="Times New Roman" w:cs="Times New Roman"/>
          <w:sz w:val="22"/>
          <w:szCs w:val="22"/>
        </w:rPr>
        <w:t xml:space="preserve"> pool is not restricted as to legal form, other than by the legal</w:t>
      </w:r>
      <w:r>
        <w:rPr>
          <w:rFonts w:ascii="Times New Roman" w:hAnsi="Times New Roman" w:cs="Times New Roman"/>
          <w:sz w:val="22"/>
          <w:szCs w:val="22"/>
        </w:rPr>
        <w:t xml:space="preserve"> </w:t>
      </w:r>
      <w:r w:rsidRPr="00BC2B58">
        <w:rPr>
          <w:rFonts w:ascii="Times New Roman" w:hAnsi="Times New Roman" w:cs="Times New Roman"/>
          <w:sz w:val="22"/>
          <w:szCs w:val="22"/>
        </w:rPr>
        <w:t>framework under which it is constituted</w:t>
      </w:r>
      <w:r>
        <w:rPr>
          <w:rFonts w:ascii="Times New Roman" w:hAnsi="Times New Roman" w:cs="Times New Roman"/>
          <w:sz w:val="22"/>
          <w:szCs w:val="22"/>
        </w:rPr>
        <w:t xml:space="preserve">” and identifies </w:t>
      </w:r>
      <w:r w:rsidRPr="00B75658">
        <w:rPr>
          <w:rFonts w:ascii="Times New Roman" w:hAnsi="Times New Roman" w:cs="Times New Roman"/>
          <w:b/>
          <w:sz w:val="22"/>
          <w:szCs w:val="22"/>
        </w:rPr>
        <w:t>three organizational forms for a reinsurance pool</w:t>
      </w:r>
      <w:r>
        <w:rPr>
          <w:rFonts w:ascii="Times New Roman" w:hAnsi="Times New Roman" w:cs="Times New Roman"/>
          <w:sz w:val="22"/>
          <w:szCs w:val="22"/>
        </w:rPr>
        <w:t xml:space="preserve"> identified by respondents: (1) a legal entity, (2) a m</w:t>
      </w:r>
      <w:r w:rsidRPr="0000136F">
        <w:rPr>
          <w:rFonts w:ascii="Times New Roman" w:hAnsi="Times New Roman" w:cs="Times New Roman"/>
          <w:sz w:val="22"/>
          <w:szCs w:val="22"/>
        </w:rPr>
        <w:t>ultilateral</w:t>
      </w:r>
      <w:r>
        <w:rPr>
          <w:rFonts w:ascii="Times New Roman" w:hAnsi="Times New Roman" w:cs="Times New Roman"/>
          <w:sz w:val="22"/>
          <w:szCs w:val="22"/>
        </w:rPr>
        <w:t xml:space="preserve"> </w:t>
      </w:r>
      <w:r w:rsidRPr="0000136F">
        <w:rPr>
          <w:rFonts w:ascii="Times New Roman" w:hAnsi="Times New Roman" w:cs="Times New Roman"/>
          <w:sz w:val="22"/>
          <w:szCs w:val="22"/>
        </w:rPr>
        <w:t>contract</w:t>
      </w:r>
      <w:r>
        <w:rPr>
          <w:rFonts w:ascii="Times New Roman" w:hAnsi="Times New Roman" w:cs="Times New Roman"/>
          <w:sz w:val="22"/>
          <w:szCs w:val="22"/>
        </w:rPr>
        <w:t xml:space="preserve">, and (3) a statutory arrangement.  According to the study, </w:t>
      </w:r>
      <w:r w:rsidRPr="00AB6209">
        <w:rPr>
          <w:rFonts w:ascii="Times New Roman" w:hAnsi="Times New Roman" w:cs="Times New Roman"/>
          <w:b/>
          <w:sz w:val="22"/>
          <w:szCs w:val="22"/>
        </w:rPr>
        <w:t>the most common legal form for a pool is a “multilateral contract.”</w:t>
      </w:r>
    </w:p>
    <w:p w14:paraId="41FFFF89" w14:textId="77777777" w:rsidR="00434620" w:rsidRPr="0080020D" w:rsidRDefault="00434620">
      <w:pPr>
        <w:pStyle w:val="EndnoteText"/>
        <w:rPr>
          <w:rFonts w:ascii="Times New Roman" w:hAnsi="Times New Roman" w:cs="Times New Roman"/>
          <w:sz w:val="22"/>
          <w:szCs w:val="22"/>
        </w:rPr>
      </w:pPr>
    </w:p>
  </w:endnote>
  <w:endnote w:id="35">
    <w:p w14:paraId="14FB0476" w14:textId="77777777" w:rsidR="00434620" w:rsidRPr="00E370DD" w:rsidRDefault="00434620" w:rsidP="00D616B3">
      <w:pPr>
        <w:pStyle w:val="EndnoteText"/>
        <w:rPr>
          <w:rFonts w:ascii="Times New Roman" w:hAnsi="Times New Roman" w:cs="Times New Roman"/>
          <w:sz w:val="22"/>
          <w:szCs w:val="22"/>
        </w:rPr>
      </w:pPr>
      <w:r w:rsidRPr="00E370DD">
        <w:rPr>
          <w:rStyle w:val="EndnoteReference"/>
          <w:rFonts w:ascii="Times New Roman" w:hAnsi="Times New Roman" w:cs="Times New Roman"/>
          <w:sz w:val="22"/>
          <w:szCs w:val="22"/>
        </w:rPr>
        <w:endnoteRef/>
      </w:r>
      <w:r w:rsidRPr="00E370DD">
        <w:rPr>
          <w:rFonts w:ascii="Times New Roman" w:hAnsi="Times New Roman" w:cs="Times New Roman"/>
          <w:sz w:val="22"/>
          <w:szCs w:val="22"/>
        </w:rPr>
        <w:t xml:space="preserve"> </w:t>
      </w:r>
      <w:r w:rsidRPr="00654304">
        <w:rPr>
          <w:rFonts w:ascii="Times New Roman" w:hAnsi="Times New Roman" w:cs="Times New Roman"/>
          <w:i/>
          <w:sz w:val="22"/>
          <w:szCs w:val="22"/>
        </w:rPr>
        <w:t>See</w:t>
      </w:r>
      <w:r>
        <w:rPr>
          <w:rFonts w:ascii="Times New Roman" w:hAnsi="Times New Roman" w:cs="Times New Roman"/>
          <w:sz w:val="22"/>
          <w:szCs w:val="22"/>
        </w:rPr>
        <w:t xml:space="preserve"> </w:t>
      </w:r>
      <w:r w:rsidRPr="005B4925">
        <w:rPr>
          <w:rFonts w:ascii="Times New Roman" w:hAnsi="Times New Roman" w:cs="Times New Roman"/>
          <w:sz w:val="22"/>
          <w:szCs w:val="22"/>
        </w:rPr>
        <w:t>Couch on Insurance</w:t>
      </w:r>
      <w:r>
        <w:rPr>
          <w:rFonts w:ascii="Times New Roman" w:hAnsi="Times New Roman" w:cs="Times New Roman"/>
          <w:sz w:val="22"/>
          <w:szCs w:val="22"/>
        </w:rPr>
        <w:t>,</w:t>
      </w:r>
      <w:r w:rsidRPr="005B4925">
        <w:rPr>
          <w:rFonts w:ascii="Times New Roman" w:hAnsi="Times New Roman" w:cs="Times New Roman"/>
          <w:sz w:val="22"/>
          <w:szCs w:val="22"/>
        </w:rPr>
        <w:t xml:space="preserve"> Third Edition</w:t>
      </w:r>
      <w:r>
        <w:rPr>
          <w:rFonts w:ascii="Times New Roman" w:hAnsi="Times New Roman" w:cs="Times New Roman"/>
          <w:sz w:val="22"/>
          <w:szCs w:val="22"/>
        </w:rPr>
        <w:t>, Chapter 9 (</w:t>
      </w:r>
      <w:r w:rsidRPr="00F75946">
        <w:rPr>
          <w:rFonts w:ascii="Times New Roman" w:hAnsi="Times New Roman" w:cs="Times New Roman"/>
          <w:sz w:val="22"/>
          <w:szCs w:val="22"/>
        </w:rPr>
        <w:t xml:space="preserve">by </w:t>
      </w:r>
      <w:r>
        <w:rPr>
          <w:rFonts w:ascii="Times New Roman" w:hAnsi="Times New Roman" w:cs="Times New Roman"/>
          <w:sz w:val="22"/>
          <w:szCs w:val="22"/>
        </w:rPr>
        <w:t xml:space="preserve">successor authors, </w:t>
      </w:r>
      <w:r w:rsidRPr="00F75946">
        <w:rPr>
          <w:rFonts w:ascii="Times New Roman" w:hAnsi="Times New Roman" w:cs="Times New Roman"/>
          <w:sz w:val="22"/>
          <w:szCs w:val="22"/>
        </w:rPr>
        <w:t>Steven Plitt, Daniel Maldonado, and Joshua D. Rogers</w:t>
      </w:r>
      <w:r>
        <w:rPr>
          <w:rFonts w:ascii="Times New Roman" w:hAnsi="Times New Roman" w:cs="Times New Roman"/>
          <w:sz w:val="22"/>
          <w:szCs w:val="22"/>
        </w:rPr>
        <w:t xml:space="preserve">), </w:t>
      </w:r>
      <w:r w:rsidRPr="00115FD6">
        <w:rPr>
          <w:rFonts w:ascii="Times New Roman" w:hAnsi="Times New Roman" w:cs="Times New Roman"/>
          <w:sz w:val="22"/>
          <w:szCs w:val="22"/>
        </w:rPr>
        <w:t>§</w:t>
      </w:r>
      <w:r>
        <w:rPr>
          <w:rFonts w:ascii="Times New Roman" w:hAnsi="Times New Roman" w:cs="Times New Roman"/>
          <w:sz w:val="22"/>
          <w:szCs w:val="22"/>
        </w:rPr>
        <w:t xml:space="preserve"> 9:1 (June</w:t>
      </w:r>
      <w:r w:rsidRPr="00ED0A40">
        <w:rPr>
          <w:rFonts w:ascii="Times New Roman" w:hAnsi="Times New Roman" w:cs="Times New Roman"/>
          <w:sz w:val="22"/>
          <w:szCs w:val="22"/>
        </w:rPr>
        <w:t xml:space="preserve"> 2018 update)</w:t>
      </w:r>
      <w:r>
        <w:rPr>
          <w:rFonts w:ascii="Times New Roman" w:hAnsi="Times New Roman" w:cs="Times New Roman"/>
          <w:sz w:val="22"/>
          <w:szCs w:val="22"/>
        </w:rPr>
        <w:t>, describing reinsurance as follows: “</w:t>
      </w:r>
      <w:r w:rsidRPr="00704C6D">
        <w:rPr>
          <w:rFonts w:ascii="Times New Roman" w:hAnsi="Times New Roman" w:cs="Times New Roman"/>
          <w:sz w:val="22"/>
          <w:szCs w:val="22"/>
        </w:rPr>
        <w:t xml:space="preserve">Reinsurance is a contract whereby one insurer transfers or </w:t>
      </w:r>
      <w:r>
        <w:rPr>
          <w:rFonts w:ascii="Times New Roman" w:hAnsi="Times New Roman" w:cs="Times New Roman"/>
          <w:sz w:val="22"/>
          <w:szCs w:val="22"/>
        </w:rPr>
        <w:t>‘</w:t>
      </w:r>
      <w:r w:rsidRPr="00704C6D">
        <w:rPr>
          <w:rFonts w:ascii="Times New Roman" w:hAnsi="Times New Roman" w:cs="Times New Roman"/>
          <w:sz w:val="22"/>
          <w:szCs w:val="22"/>
        </w:rPr>
        <w:t>cedes</w:t>
      </w:r>
      <w:r>
        <w:rPr>
          <w:rFonts w:ascii="Times New Roman" w:hAnsi="Times New Roman" w:cs="Times New Roman"/>
          <w:sz w:val="22"/>
          <w:szCs w:val="22"/>
        </w:rPr>
        <w:t>’</w:t>
      </w:r>
      <w:r w:rsidRPr="00704C6D">
        <w:rPr>
          <w:rFonts w:ascii="Times New Roman" w:hAnsi="Times New Roman" w:cs="Times New Roman"/>
          <w:sz w:val="22"/>
          <w:szCs w:val="22"/>
        </w:rPr>
        <w:t xml:space="preserve"> to another insurer all or part of the risk it has assumed</w:t>
      </w:r>
      <w:r>
        <w:rPr>
          <w:rFonts w:ascii="Times New Roman" w:hAnsi="Times New Roman" w:cs="Times New Roman"/>
          <w:sz w:val="22"/>
          <w:szCs w:val="22"/>
        </w:rPr>
        <w:t xml:space="preserve"> </w:t>
      </w:r>
      <w:r w:rsidRPr="00704C6D">
        <w:rPr>
          <w:rFonts w:ascii="Times New Roman" w:hAnsi="Times New Roman" w:cs="Times New Roman"/>
          <w:sz w:val="22"/>
          <w:szCs w:val="22"/>
        </w:rPr>
        <w:t>under a separate or distinct policy or group of policies in exchange for a portion of the premium. In essence, reinsurance</w:t>
      </w:r>
      <w:r>
        <w:rPr>
          <w:rFonts w:ascii="Times New Roman" w:hAnsi="Times New Roman" w:cs="Times New Roman"/>
          <w:sz w:val="22"/>
          <w:szCs w:val="22"/>
        </w:rPr>
        <w:t xml:space="preserve"> </w:t>
      </w:r>
      <w:r w:rsidRPr="00704C6D">
        <w:rPr>
          <w:rFonts w:ascii="Times New Roman" w:hAnsi="Times New Roman" w:cs="Times New Roman"/>
          <w:sz w:val="22"/>
          <w:szCs w:val="22"/>
        </w:rPr>
        <w:t>is insurance for insurance companies.</w:t>
      </w:r>
      <w:r>
        <w:rPr>
          <w:rFonts w:ascii="Times New Roman" w:hAnsi="Times New Roman" w:cs="Times New Roman"/>
          <w:sz w:val="22"/>
          <w:szCs w:val="22"/>
        </w:rPr>
        <w:t xml:space="preserve">  </w:t>
      </w:r>
      <w:r w:rsidRPr="00704C6D">
        <w:rPr>
          <w:rFonts w:ascii="Times New Roman" w:hAnsi="Times New Roman" w:cs="Times New Roman"/>
          <w:sz w:val="22"/>
          <w:szCs w:val="22"/>
        </w:rPr>
        <w:t>Reinsurance provides insurers with the ability to spread the risk that they have</w:t>
      </w:r>
      <w:r>
        <w:rPr>
          <w:rFonts w:ascii="Times New Roman" w:hAnsi="Times New Roman" w:cs="Times New Roman"/>
          <w:sz w:val="22"/>
          <w:szCs w:val="22"/>
        </w:rPr>
        <w:t xml:space="preserve"> </w:t>
      </w:r>
      <w:r w:rsidRPr="00704C6D">
        <w:rPr>
          <w:rFonts w:ascii="Times New Roman" w:hAnsi="Times New Roman" w:cs="Times New Roman"/>
          <w:sz w:val="22"/>
          <w:szCs w:val="22"/>
        </w:rPr>
        <w:t>assumed, thereby preventing any one insurer from suffering a catastrophic loss.</w:t>
      </w:r>
      <w:r>
        <w:rPr>
          <w:rFonts w:ascii="Times New Roman" w:hAnsi="Times New Roman" w:cs="Times New Roman"/>
          <w:sz w:val="22"/>
          <w:szCs w:val="22"/>
        </w:rPr>
        <w:t xml:space="preserve">  </w:t>
      </w:r>
      <w:r w:rsidRPr="00704C6D">
        <w:rPr>
          <w:rFonts w:ascii="Times New Roman" w:hAnsi="Times New Roman" w:cs="Times New Roman"/>
          <w:sz w:val="22"/>
          <w:szCs w:val="22"/>
        </w:rPr>
        <w:t>It also increases an insurance company</w:t>
      </w:r>
      <w:r>
        <w:rPr>
          <w:rFonts w:ascii="Times New Roman" w:hAnsi="Times New Roman" w:cs="Times New Roman"/>
          <w:sz w:val="22"/>
          <w:szCs w:val="22"/>
        </w:rPr>
        <w:t>’</w:t>
      </w:r>
      <w:r w:rsidRPr="00704C6D">
        <w:rPr>
          <w:rFonts w:ascii="Times New Roman" w:hAnsi="Times New Roman" w:cs="Times New Roman"/>
          <w:sz w:val="22"/>
          <w:szCs w:val="22"/>
        </w:rPr>
        <w:t>s</w:t>
      </w:r>
      <w:r>
        <w:rPr>
          <w:rFonts w:ascii="Times New Roman" w:hAnsi="Times New Roman" w:cs="Times New Roman"/>
          <w:sz w:val="22"/>
          <w:szCs w:val="22"/>
        </w:rPr>
        <w:t xml:space="preserve"> </w:t>
      </w:r>
      <w:r w:rsidRPr="00704C6D">
        <w:rPr>
          <w:rFonts w:ascii="Times New Roman" w:hAnsi="Times New Roman" w:cs="Times New Roman"/>
          <w:sz w:val="22"/>
          <w:szCs w:val="22"/>
        </w:rPr>
        <w:t>capacity to accept new risks, enables it to reduce required reserves, allows it to write risks that might otherwise be beyond</w:t>
      </w:r>
      <w:r>
        <w:rPr>
          <w:rFonts w:ascii="Times New Roman" w:hAnsi="Times New Roman" w:cs="Times New Roman"/>
          <w:sz w:val="22"/>
          <w:szCs w:val="22"/>
        </w:rPr>
        <w:t xml:space="preserve"> </w:t>
      </w:r>
      <w:r w:rsidRPr="00704C6D">
        <w:rPr>
          <w:rFonts w:ascii="Times New Roman" w:hAnsi="Times New Roman" w:cs="Times New Roman"/>
          <w:sz w:val="22"/>
          <w:szCs w:val="22"/>
        </w:rPr>
        <w:t>its capacity, and permits greater competition among insurers.</w:t>
      </w:r>
      <w:r>
        <w:rPr>
          <w:rFonts w:ascii="Times New Roman" w:hAnsi="Times New Roman" w:cs="Times New Roman"/>
          <w:sz w:val="22"/>
          <w:szCs w:val="22"/>
        </w:rPr>
        <w:t xml:space="preserve">  </w:t>
      </w:r>
      <w:r w:rsidRPr="00704C6D">
        <w:rPr>
          <w:rFonts w:ascii="Times New Roman" w:hAnsi="Times New Roman" w:cs="Times New Roman"/>
          <w:sz w:val="22"/>
          <w:szCs w:val="22"/>
        </w:rPr>
        <w:t>While reinsurance technically qualifies as insurance, it</w:t>
      </w:r>
      <w:r>
        <w:rPr>
          <w:rFonts w:ascii="Times New Roman" w:hAnsi="Times New Roman" w:cs="Times New Roman"/>
          <w:sz w:val="22"/>
          <w:szCs w:val="22"/>
        </w:rPr>
        <w:t xml:space="preserve"> </w:t>
      </w:r>
      <w:r w:rsidRPr="00D616B3">
        <w:rPr>
          <w:rFonts w:ascii="Times New Roman" w:hAnsi="Times New Roman" w:cs="Times New Roman"/>
          <w:sz w:val="22"/>
          <w:szCs w:val="22"/>
        </w:rPr>
        <w:t>is a contract for indemnity rather than liability.</w:t>
      </w:r>
      <w:r>
        <w:rPr>
          <w:rFonts w:ascii="Times New Roman" w:hAnsi="Times New Roman" w:cs="Times New Roman"/>
          <w:sz w:val="22"/>
          <w:szCs w:val="22"/>
        </w:rPr>
        <w:t xml:space="preserve">  </w:t>
      </w:r>
      <w:r w:rsidRPr="00D616B3">
        <w:rPr>
          <w:rFonts w:ascii="Times New Roman" w:hAnsi="Times New Roman" w:cs="Times New Roman"/>
          <w:sz w:val="22"/>
          <w:szCs w:val="22"/>
        </w:rPr>
        <w:t>Reinsurance has been in existence for centuries, during which time the</w:t>
      </w:r>
      <w:r>
        <w:rPr>
          <w:rFonts w:ascii="Times New Roman" w:hAnsi="Times New Roman" w:cs="Times New Roman"/>
          <w:sz w:val="22"/>
          <w:szCs w:val="22"/>
        </w:rPr>
        <w:t xml:space="preserve"> </w:t>
      </w:r>
      <w:r w:rsidRPr="00D616B3">
        <w:rPr>
          <w:rFonts w:ascii="Times New Roman" w:hAnsi="Times New Roman" w:cs="Times New Roman"/>
          <w:sz w:val="22"/>
          <w:szCs w:val="22"/>
        </w:rPr>
        <w:t>industry was virtually unknown to all who were not intimately involved with the insurance business. Reinsurance has</w:t>
      </w:r>
      <w:r>
        <w:rPr>
          <w:rFonts w:ascii="Times New Roman" w:hAnsi="Times New Roman" w:cs="Times New Roman"/>
          <w:sz w:val="22"/>
          <w:szCs w:val="22"/>
        </w:rPr>
        <w:t xml:space="preserve"> </w:t>
      </w:r>
      <w:r w:rsidRPr="00D616B3">
        <w:rPr>
          <w:rFonts w:ascii="Times New Roman" w:hAnsi="Times New Roman" w:cs="Times New Roman"/>
          <w:sz w:val="22"/>
          <w:szCs w:val="22"/>
        </w:rPr>
        <w:t>since received considerable attention following numerous natural disasters and the tragedy of September 11, which have</w:t>
      </w:r>
      <w:r>
        <w:rPr>
          <w:rFonts w:ascii="Times New Roman" w:hAnsi="Times New Roman" w:cs="Times New Roman"/>
          <w:sz w:val="22"/>
          <w:szCs w:val="22"/>
        </w:rPr>
        <w:t xml:space="preserve"> </w:t>
      </w:r>
      <w:r w:rsidRPr="00D616B3">
        <w:rPr>
          <w:rFonts w:ascii="Times New Roman" w:hAnsi="Times New Roman" w:cs="Times New Roman"/>
          <w:sz w:val="22"/>
          <w:szCs w:val="22"/>
        </w:rPr>
        <w:t xml:space="preserve">resulted </w:t>
      </w:r>
      <w:r>
        <w:rPr>
          <w:rFonts w:ascii="Times New Roman" w:hAnsi="Times New Roman" w:cs="Times New Roman"/>
          <w:sz w:val="22"/>
          <w:szCs w:val="22"/>
        </w:rPr>
        <w:t xml:space="preserve">[in] </w:t>
      </w:r>
      <w:r w:rsidRPr="00D616B3">
        <w:rPr>
          <w:rFonts w:ascii="Times New Roman" w:hAnsi="Times New Roman" w:cs="Times New Roman"/>
          <w:sz w:val="22"/>
          <w:szCs w:val="22"/>
        </w:rPr>
        <w:t xml:space="preserve">billions of dollars in claims and numerous insolvencies in the insurance industry. </w:t>
      </w:r>
      <w:r w:rsidRPr="00353E68">
        <w:rPr>
          <w:rFonts w:ascii="Times New Roman" w:hAnsi="Times New Roman" w:cs="Times New Roman"/>
          <w:i/>
          <w:sz w:val="22"/>
          <w:szCs w:val="22"/>
        </w:rPr>
        <w:t>Despite this fact, it remains a relatively unfamiliar area of law to most practitioners and members of the judiciary</w:t>
      </w:r>
      <w:r w:rsidRPr="00D616B3">
        <w:rPr>
          <w:rFonts w:ascii="Times New Roman" w:hAnsi="Times New Roman" w:cs="Times New Roman"/>
          <w:sz w:val="22"/>
          <w:szCs w:val="22"/>
        </w:rPr>
        <w:t>.</w:t>
      </w:r>
      <w:r>
        <w:rPr>
          <w:rFonts w:ascii="Times New Roman" w:hAnsi="Times New Roman" w:cs="Times New Roman"/>
          <w:sz w:val="22"/>
          <w:szCs w:val="22"/>
        </w:rPr>
        <w:t>” (Emphasis added).</w:t>
      </w:r>
    </w:p>
    <w:p w14:paraId="7CE6E699" w14:textId="77777777" w:rsidR="00434620" w:rsidRPr="00434C88" w:rsidRDefault="00434620">
      <w:pPr>
        <w:pStyle w:val="EndnoteText"/>
        <w:rPr>
          <w:rFonts w:ascii="Times New Roman" w:hAnsi="Times New Roman" w:cs="Times New Roman"/>
          <w:sz w:val="22"/>
          <w:szCs w:val="22"/>
        </w:rPr>
      </w:pPr>
    </w:p>
  </w:endnote>
  <w:endnote w:id="36">
    <w:p w14:paraId="41298394" w14:textId="65FE90DE" w:rsidR="00434620" w:rsidRPr="00434C88" w:rsidRDefault="00434620">
      <w:pPr>
        <w:pStyle w:val="EndnoteText"/>
        <w:rPr>
          <w:rFonts w:ascii="Times New Roman" w:hAnsi="Times New Roman" w:cs="Times New Roman"/>
          <w:sz w:val="22"/>
          <w:szCs w:val="22"/>
        </w:rPr>
      </w:pPr>
      <w:r w:rsidRPr="00434C88">
        <w:rPr>
          <w:rStyle w:val="EndnoteReference"/>
          <w:rFonts w:ascii="Times New Roman" w:hAnsi="Times New Roman" w:cs="Times New Roman"/>
          <w:sz w:val="22"/>
          <w:szCs w:val="22"/>
        </w:rPr>
        <w:endnoteRef/>
      </w:r>
      <w:r w:rsidRPr="00434C88">
        <w:rPr>
          <w:rFonts w:ascii="Times New Roman" w:hAnsi="Times New Roman" w:cs="Times New Roman"/>
          <w:sz w:val="22"/>
          <w:szCs w:val="22"/>
        </w:rPr>
        <w:t xml:space="preserve"> </w:t>
      </w:r>
      <w:r w:rsidRPr="00654304">
        <w:rPr>
          <w:rFonts w:ascii="Times New Roman" w:hAnsi="Times New Roman" w:cs="Times New Roman"/>
          <w:i/>
          <w:sz w:val="22"/>
          <w:szCs w:val="22"/>
        </w:rPr>
        <w:t>See</w:t>
      </w:r>
      <w:r w:rsidRPr="009C7AAB">
        <w:rPr>
          <w:rFonts w:ascii="Times New Roman" w:hAnsi="Times New Roman" w:cs="Times New Roman"/>
          <w:sz w:val="22"/>
          <w:szCs w:val="22"/>
        </w:rPr>
        <w:t xml:space="preserve"> Note 46 and Note 48 infra,</w:t>
      </w:r>
      <w:r>
        <w:rPr>
          <w:rFonts w:ascii="Times New Roman" w:hAnsi="Times New Roman" w:cs="Times New Roman"/>
          <w:sz w:val="22"/>
          <w:szCs w:val="22"/>
        </w:rPr>
        <w:t xml:space="preserve"> discussing the facts of </w:t>
      </w:r>
      <w:r w:rsidRPr="00CB51FD">
        <w:rPr>
          <w:rFonts w:ascii="Times New Roman" w:hAnsi="Times New Roman" w:cs="Times New Roman"/>
          <w:i/>
          <w:sz w:val="22"/>
          <w:szCs w:val="22"/>
        </w:rPr>
        <w:t>Rent-A-Center</w:t>
      </w:r>
      <w:r>
        <w:rPr>
          <w:rFonts w:ascii="Times New Roman" w:hAnsi="Times New Roman" w:cs="Times New Roman"/>
          <w:sz w:val="22"/>
          <w:szCs w:val="22"/>
        </w:rPr>
        <w:t xml:space="preserve"> and the </w:t>
      </w:r>
      <w:r w:rsidRPr="00792A56">
        <w:rPr>
          <w:rFonts w:ascii="Times New Roman" w:hAnsi="Times New Roman" w:cs="Times New Roman"/>
          <w:i/>
          <w:sz w:val="22"/>
          <w:szCs w:val="22"/>
        </w:rPr>
        <w:t>Avrahami</w:t>
      </w:r>
      <w:r>
        <w:rPr>
          <w:rFonts w:ascii="Times New Roman" w:hAnsi="Times New Roman" w:cs="Times New Roman"/>
          <w:sz w:val="22"/>
          <w:szCs w:val="22"/>
        </w:rPr>
        <w:t xml:space="preserve"> court’s erroneous citation to </w:t>
      </w:r>
      <w:r w:rsidRPr="0051103A">
        <w:rPr>
          <w:rFonts w:ascii="Times New Roman" w:hAnsi="Times New Roman" w:cs="Times New Roman"/>
          <w:i/>
          <w:sz w:val="22"/>
          <w:szCs w:val="22"/>
        </w:rPr>
        <w:t>Rent-A-Center</w:t>
      </w:r>
      <w:r>
        <w:rPr>
          <w:rFonts w:ascii="Times New Roman" w:hAnsi="Times New Roman" w:cs="Times New Roman"/>
          <w:sz w:val="22"/>
          <w:szCs w:val="22"/>
        </w:rPr>
        <w:t>, which was a case that did not involve a pooling arrangement.</w:t>
      </w:r>
    </w:p>
    <w:p w14:paraId="70A99250" w14:textId="77777777" w:rsidR="00434620" w:rsidRPr="00434C88" w:rsidRDefault="00434620">
      <w:pPr>
        <w:pStyle w:val="EndnoteText"/>
        <w:rPr>
          <w:rFonts w:ascii="Times New Roman" w:hAnsi="Times New Roman" w:cs="Times New Roman"/>
          <w:sz w:val="22"/>
          <w:szCs w:val="22"/>
        </w:rPr>
      </w:pPr>
    </w:p>
  </w:endnote>
  <w:endnote w:id="37">
    <w:p w14:paraId="345F0731" w14:textId="38790158" w:rsidR="00434620" w:rsidRPr="006E29E4" w:rsidRDefault="00434620" w:rsidP="001F508A">
      <w:pPr>
        <w:pStyle w:val="EndnoteText"/>
        <w:rPr>
          <w:rFonts w:ascii="Times New Roman" w:hAnsi="Times New Roman" w:cs="Times New Roman"/>
          <w:sz w:val="22"/>
          <w:szCs w:val="22"/>
        </w:rPr>
      </w:pPr>
      <w:r w:rsidRPr="00114ED3">
        <w:rPr>
          <w:rStyle w:val="EndnoteReference"/>
          <w:rFonts w:ascii="Times New Roman" w:hAnsi="Times New Roman" w:cs="Times New Roman"/>
          <w:sz w:val="22"/>
          <w:szCs w:val="22"/>
        </w:rPr>
        <w:endnoteRef/>
      </w:r>
      <w:r w:rsidRPr="00114ED3">
        <w:rPr>
          <w:rFonts w:ascii="Times New Roman" w:hAnsi="Times New Roman" w:cs="Times New Roman"/>
          <w:sz w:val="22"/>
          <w:szCs w:val="22"/>
        </w:rPr>
        <w:t xml:space="preserve"> </w:t>
      </w:r>
      <w:r w:rsidRPr="00654304">
        <w:rPr>
          <w:rFonts w:ascii="Times New Roman" w:hAnsi="Times New Roman" w:cs="Times New Roman"/>
          <w:i/>
          <w:sz w:val="22"/>
          <w:szCs w:val="22"/>
        </w:rPr>
        <w:t>See</w:t>
      </w:r>
      <w:r w:rsidRPr="00114ED3">
        <w:rPr>
          <w:rFonts w:ascii="Times New Roman" w:hAnsi="Times New Roman" w:cs="Times New Roman"/>
          <w:sz w:val="22"/>
          <w:szCs w:val="22"/>
        </w:rPr>
        <w:t xml:space="preserve"> testimony of Dr. Neil Doherty, </w:t>
      </w:r>
      <w:r>
        <w:rPr>
          <w:rFonts w:ascii="Times New Roman" w:hAnsi="Times New Roman" w:cs="Times New Roman"/>
          <w:sz w:val="22"/>
          <w:szCs w:val="22"/>
        </w:rPr>
        <w:t>Tr.</w:t>
      </w:r>
      <w:r w:rsidRPr="00114ED3">
        <w:rPr>
          <w:rFonts w:ascii="Times New Roman" w:hAnsi="Times New Roman" w:cs="Times New Roman"/>
          <w:sz w:val="22"/>
          <w:szCs w:val="22"/>
        </w:rPr>
        <w:t xml:space="preserve"> at 235-236 and Exhibit 104-P (Expert Report of Dr. Neil Doherty, March 27, 2017).</w:t>
      </w:r>
      <w:r>
        <w:rPr>
          <w:rFonts w:ascii="Times New Roman" w:hAnsi="Times New Roman" w:cs="Times New Roman"/>
          <w:sz w:val="22"/>
          <w:szCs w:val="22"/>
        </w:rPr>
        <w:t xml:space="preserve">  In his expert report, Dr. Doherty stated as follows: “</w:t>
      </w:r>
      <w:r w:rsidRPr="006E29E4">
        <w:rPr>
          <w:rFonts w:ascii="Times New Roman" w:hAnsi="Times New Roman" w:cs="Times New Roman"/>
          <w:sz w:val="22"/>
          <w:szCs w:val="22"/>
        </w:rPr>
        <w:t>Given that most members of the Capstone program are medium</w:t>
      </w:r>
      <w:r>
        <w:rPr>
          <w:rFonts w:ascii="Times New Roman" w:hAnsi="Times New Roman" w:cs="Times New Roman"/>
          <w:sz w:val="22"/>
          <w:szCs w:val="22"/>
        </w:rPr>
        <w:t xml:space="preserve"> </w:t>
      </w:r>
      <w:r w:rsidRPr="006E29E4">
        <w:rPr>
          <w:rFonts w:ascii="Times New Roman" w:hAnsi="Times New Roman" w:cs="Times New Roman"/>
          <w:sz w:val="22"/>
          <w:szCs w:val="22"/>
        </w:rPr>
        <w:t>sized firms (revenues of $10-$150 million), their loss histories would be rather sparse; especially</w:t>
      </w:r>
      <w:r>
        <w:rPr>
          <w:rFonts w:ascii="Times New Roman" w:hAnsi="Times New Roman" w:cs="Times New Roman"/>
          <w:sz w:val="22"/>
          <w:szCs w:val="22"/>
        </w:rPr>
        <w:t xml:space="preserve"> </w:t>
      </w:r>
      <w:r w:rsidRPr="006E29E4">
        <w:rPr>
          <w:rFonts w:ascii="Times New Roman" w:hAnsi="Times New Roman" w:cs="Times New Roman"/>
          <w:sz w:val="22"/>
          <w:szCs w:val="22"/>
        </w:rPr>
        <w:t>for large losses which are quite rare. The data simply does not exist to provide such detailed</w:t>
      </w:r>
      <w:r>
        <w:rPr>
          <w:rFonts w:ascii="Times New Roman" w:hAnsi="Times New Roman" w:cs="Times New Roman"/>
          <w:sz w:val="22"/>
          <w:szCs w:val="22"/>
        </w:rPr>
        <w:t xml:space="preserve"> </w:t>
      </w:r>
      <w:r w:rsidRPr="006E29E4">
        <w:rPr>
          <w:rFonts w:ascii="Times New Roman" w:hAnsi="Times New Roman" w:cs="Times New Roman"/>
          <w:sz w:val="22"/>
          <w:szCs w:val="22"/>
        </w:rPr>
        <w:t>estimation. However, it is precisely the rarity of large losses (compared with the frequency of</w:t>
      </w:r>
      <w:r>
        <w:rPr>
          <w:rFonts w:ascii="Times New Roman" w:hAnsi="Times New Roman" w:cs="Times New Roman"/>
          <w:sz w:val="22"/>
          <w:szCs w:val="22"/>
        </w:rPr>
        <w:t xml:space="preserve"> </w:t>
      </w:r>
      <w:r w:rsidRPr="006E29E4">
        <w:rPr>
          <w:rFonts w:ascii="Times New Roman" w:hAnsi="Times New Roman" w:cs="Times New Roman"/>
          <w:sz w:val="22"/>
          <w:szCs w:val="22"/>
        </w:rPr>
        <w:t>small ones) which skews loss distributions and enhances the effectiveness of non-proportional</w:t>
      </w:r>
      <w:r>
        <w:rPr>
          <w:rFonts w:ascii="Times New Roman" w:hAnsi="Times New Roman" w:cs="Times New Roman"/>
          <w:sz w:val="22"/>
          <w:szCs w:val="22"/>
        </w:rPr>
        <w:t xml:space="preserve"> </w:t>
      </w:r>
      <w:r w:rsidRPr="006E29E4">
        <w:rPr>
          <w:rFonts w:ascii="Times New Roman" w:hAnsi="Times New Roman" w:cs="Times New Roman"/>
          <w:sz w:val="22"/>
          <w:szCs w:val="22"/>
        </w:rPr>
        <w:t>stop loss programs in reducing risk. Thus, while I cannot give precise estimates of the degree of</w:t>
      </w:r>
      <w:r>
        <w:rPr>
          <w:rFonts w:ascii="Times New Roman" w:hAnsi="Times New Roman" w:cs="Times New Roman"/>
          <w:sz w:val="22"/>
          <w:szCs w:val="22"/>
        </w:rPr>
        <w:t xml:space="preserve"> </w:t>
      </w:r>
      <w:r w:rsidRPr="006E29E4">
        <w:rPr>
          <w:rFonts w:ascii="Times New Roman" w:hAnsi="Times New Roman" w:cs="Times New Roman"/>
          <w:sz w:val="22"/>
          <w:szCs w:val="22"/>
        </w:rPr>
        <w:t>risk reduction achieved in this program, I can affirm that the qualitative aspects of this program</w:t>
      </w:r>
    </w:p>
    <w:p w14:paraId="3CA3ADA8" w14:textId="77777777" w:rsidR="00434620" w:rsidRDefault="00434620" w:rsidP="001F508A">
      <w:pPr>
        <w:pStyle w:val="EndnoteText"/>
        <w:rPr>
          <w:rFonts w:ascii="Times New Roman" w:hAnsi="Times New Roman" w:cs="Times New Roman"/>
          <w:sz w:val="22"/>
          <w:szCs w:val="22"/>
        </w:rPr>
      </w:pPr>
      <w:r w:rsidRPr="006E29E4">
        <w:rPr>
          <w:rFonts w:ascii="Times New Roman" w:hAnsi="Times New Roman" w:cs="Times New Roman"/>
          <w:sz w:val="22"/>
          <w:szCs w:val="22"/>
        </w:rPr>
        <w:t>suggest significantly more risk distribution than is implied in a simple (Harper) 70:30 split.</w:t>
      </w:r>
      <w:r w:rsidRPr="008C7756">
        <w:t xml:space="preserve"> </w:t>
      </w:r>
      <w:r>
        <w:t xml:space="preserve"> </w:t>
      </w:r>
      <w:r w:rsidRPr="0036689C">
        <w:rPr>
          <w:rFonts w:ascii="Times New Roman" w:hAnsi="Times New Roman" w:cs="Times New Roman"/>
          <w:b/>
          <w:sz w:val="22"/>
          <w:szCs w:val="22"/>
        </w:rPr>
        <w:t>Accordingly, it would seem that, if Harper sets a general standard, then the Capstone members sail past this threshold. Furthermore, I believe that, because the Capstone program allocated the related-unrelated risk on a non-proportional 70-30 basis, it may achieve comparable risk reduction to that achieved in a proportional 49-51 allocation which would satisfy Rev. Rul. 2002-89</w:t>
      </w:r>
      <w:r w:rsidRPr="008C7756">
        <w:rPr>
          <w:rFonts w:ascii="Times New Roman" w:hAnsi="Times New Roman" w:cs="Times New Roman"/>
          <w:sz w:val="22"/>
          <w:szCs w:val="22"/>
        </w:rPr>
        <w:t>.</w:t>
      </w:r>
      <w:r>
        <w:rPr>
          <w:rFonts w:ascii="Times New Roman" w:hAnsi="Times New Roman" w:cs="Times New Roman"/>
          <w:sz w:val="22"/>
          <w:szCs w:val="22"/>
        </w:rPr>
        <w:t>” (Emphasis added).</w:t>
      </w:r>
    </w:p>
    <w:p w14:paraId="6E49CB1D" w14:textId="77777777" w:rsidR="00434620" w:rsidRPr="003918F1" w:rsidRDefault="00434620" w:rsidP="001F508A">
      <w:pPr>
        <w:pStyle w:val="EndnoteText"/>
        <w:rPr>
          <w:rFonts w:ascii="Times New Roman" w:hAnsi="Times New Roman" w:cs="Times New Roman"/>
          <w:sz w:val="22"/>
          <w:szCs w:val="22"/>
        </w:rPr>
      </w:pPr>
    </w:p>
  </w:endnote>
  <w:endnote w:id="38">
    <w:p w14:paraId="20020382" w14:textId="654ABD6E" w:rsidR="00434620" w:rsidRDefault="00434620" w:rsidP="001F508A">
      <w:pPr>
        <w:pStyle w:val="EndnoteText"/>
        <w:rPr>
          <w:rFonts w:ascii="Times New Roman" w:hAnsi="Times New Roman" w:cs="Times New Roman"/>
          <w:sz w:val="22"/>
          <w:szCs w:val="22"/>
        </w:rPr>
      </w:pPr>
      <w:r w:rsidRPr="003918F1">
        <w:rPr>
          <w:rStyle w:val="EndnoteReference"/>
          <w:rFonts w:ascii="Times New Roman" w:hAnsi="Times New Roman" w:cs="Times New Roman"/>
          <w:sz w:val="22"/>
          <w:szCs w:val="22"/>
        </w:rPr>
        <w:endnoteRef/>
      </w:r>
      <w:r w:rsidRPr="003918F1">
        <w:rPr>
          <w:rFonts w:ascii="Times New Roman" w:hAnsi="Times New Roman" w:cs="Times New Roman"/>
          <w:sz w:val="22"/>
          <w:szCs w:val="22"/>
        </w:rPr>
        <w:t xml:space="preserve"> </w:t>
      </w:r>
      <w:r w:rsidRPr="00654304">
        <w:rPr>
          <w:rFonts w:ascii="Times New Roman" w:hAnsi="Times New Roman" w:cs="Times New Roman"/>
          <w:i/>
          <w:sz w:val="22"/>
          <w:szCs w:val="22"/>
        </w:rPr>
        <w:t>See</w:t>
      </w:r>
      <w:r w:rsidRPr="00972D00">
        <w:rPr>
          <w:rFonts w:ascii="Times New Roman" w:hAnsi="Times New Roman" w:cs="Times New Roman"/>
          <w:sz w:val="22"/>
          <w:szCs w:val="22"/>
        </w:rPr>
        <w:t xml:space="preserve"> testimony of </w:t>
      </w:r>
      <w:r>
        <w:rPr>
          <w:rFonts w:ascii="Times New Roman" w:hAnsi="Times New Roman" w:cs="Times New Roman"/>
          <w:sz w:val="22"/>
          <w:szCs w:val="22"/>
        </w:rPr>
        <w:t>Robert</w:t>
      </w:r>
      <w:r w:rsidRPr="00972D00">
        <w:rPr>
          <w:rFonts w:ascii="Times New Roman" w:hAnsi="Times New Roman" w:cs="Times New Roman"/>
          <w:sz w:val="22"/>
          <w:szCs w:val="22"/>
        </w:rPr>
        <w:t xml:space="preserve"> Snyder, Tr</w:t>
      </w:r>
      <w:r>
        <w:rPr>
          <w:rFonts w:ascii="Times New Roman" w:hAnsi="Times New Roman" w:cs="Times New Roman"/>
          <w:sz w:val="22"/>
          <w:szCs w:val="22"/>
        </w:rPr>
        <w:t>.</w:t>
      </w:r>
      <w:r w:rsidRPr="00972D00">
        <w:rPr>
          <w:rFonts w:ascii="Times New Roman" w:hAnsi="Times New Roman" w:cs="Times New Roman"/>
          <w:sz w:val="22"/>
          <w:szCs w:val="22"/>
        </w:rPr>
        <w:t xml:space="preserve"> at </w:t>
      </w:r>
      <w:r>
        <w:rPr>
          <w:rFonts w:ascii="Times New Roman" w:hAnsi="Times New Roman" w:cs="Times New Roman"/>
          <w:sz w:val="22"/>
          <w:szCs w:val="22"/>
        </w:rPr>
        <w:t xml:space="preserve">34-37.  Mr. Snyder testified at pages 35-36 that “A </w:t>
      </w:r>
      <w:r w:rsidRPr="00FF3D82">
        <w:rPr>
          <w:rFonts w:ascii="Times New Roman" w:hAnsi="Times New Roman" w:cs="Times New Roman"/>
          <w:sz w:val="22"/>
          <w:szCs w:val="22"/>
        </w:rPr>
        <w:t>quota share reinsurance policy is a</w:t>
      </w:r>
      <w:r>
        <w:rPr>
          <w:rFonts w:ascii="Times New Roman" w:hAnsi="Times New Roman" w:cs="Times New Roman"/>
          <w:sz w:val="22"/>
          <w:szCs w:val="22"/>
        </w:rPr>
        <w:t xml:space="preserve"> </w:t>
      </w:r>
      <w:r w:rsidRPr="00FF3D82">
        <w:rPr>
          <w:rFonts w:ascii="Times New Roman" w:hAnsi="Times New Roman" w:cs="Times New Roman"/>
          <w:sz w:val="22"/>
          <w:szCs w:val="22"/>
        </w:rPr>
        <w:t>policy that would typically be used by a reinsurance</w:t>
      </w:r>
      <w:r>
        <w:rPr>
          <w:rFonts w:ascii="Times New Roman" w:hAnsi="Times New Roman" w:cs="Times New Roman"/>
          <w:sz w:val="22"/>
          <w:szCs w:val="22"/>
        </w:rPr>
        <w:t xml:space="preserve"> </w:t>
      </w:r>
      <w:r w:rsidRPr="00FF3D82">
        <w:rPr>
          <w:rFonts w:ascii="Times New Roman" w:hAnsi="Times New Roman" w:cs="Times New Roman"/>
          <w:sz w:val="22"/>
          <w:szCs w:val="22"/>
        </w:rPr>
        <w:t>pool where a portion of the risks that are</w:t>
      </w:r>
      <w:r>
        <w:rPr>
          <w:rFonts w:ascii="Times New Roman" w:hAnsi="Times New Roman" w:cs="Times New Roman"/>
          <w:sz w:val="22"/>
          <w:szCs w:val="22"/>
        </w:rPr>
        <w:t xml:space="preserve"> </w:t>
      </w:r>
      <w:r w:rsidRPr="00FF3D82">
        <w:rPr>
          <w:rFonts w:ascii="Times New Roman" w:hAnsi="Times New Roman" w:cs="Times New Roman"/>
          <w:sz w:val="22"/>
          <w:szCs w:val="22"/>
        </w:rPr>
        <w:t>underwritten by other insurance companies -- in this</w:t>
      </w:r>
      <w:r>
        <w:rPr>
          <w:rFonts w:ascii="Times New Roman" w:hAnsi="Times New Roman" w:cs="Times New Roman"/>
          <w:sz w:val="22"/>
          <w:szCs w:val="22"/>
        </w:rPr>
        <w:t xml:space="preserve"> </w:t>
      </w:r>
      <w:r w:rsidRPr="00FF3D82">
        <w:rPr>
          <w:rFonts w:ascii="Times New Roman" w:hAnsi="Times New Roman" w:cs="Times New Roman"/>
          <w:sz w:val="22"/>
          <w:szCs w:val="22"/>
        </w:rPr>
        <w:t>case it would be captive insurance companies</w:t>
      </w:r>
      <w:r>
        <w:rPr>
          <w:rFonts w:ascii="Times New Roman" w:hAnsi="Times New Roman" w:cs="Times New Roman"/>
          <w:sz w:val="22"/>
          <w:szCs w:val="22"/>
        </w:rPr>
        <w:t xml:space="preserve">…that </w:t>
      </w:r>
      <w:r w:rsidRPr="00FF3D82">
        <w:rPr>
          <w:rFonts w:ascii="Times New Roman" w:hAnsi="Times New Roman" w:cs="Times New Roman"/>
          <w:sz w:val="22"/>
          <w:szCs w:val="22"/>
        </w:rPr>
        <w:t>ceded to the quota share</w:t>
      </w:r>
      <w:r>
        <w:rPr>
          <w:rFonts w:ascii="Times New Roman" w:hAnsi="Times New Roman" w:cs="Times New Roman"/>
          <w:sz w:val="22"/>
          <w:szCs w:val="22"/>
        </w:rPr>
        <w:t xml:space="preserve"> r</w:t>
      </w:r>
      <w:r w:rsidRPr="00FF3D82">
        <w:rPr>
          <w:rFonts w:ascii="Times New Roman" w:hAnsi="Times New Roman" w:cs="Times New Roman"/>
          <w:sz w:val="22"/>
          <w:szCs w:val="22"/>
        </w:rPr>
        <w:t>einsurer proportionately, and the reinsurer then</w:t>
      </w:r>
      <w:r>
        <w:rPr>
          <w:rFonts w:ascii="Times New Roman" w:hAnsi="Times New Roman" w:cs="Times New Roman"/>
          <w:sz w:val="22"/>
          <w:szCs w:val="22"/>
        </w:rPr>
        <w:t xml:space="preserve"> </w:t>
      </w:r>
      <w:r w:rsidRPr="00FF3D82">
        <w:rPr>
          <w:rFonts w:ascii="Times New Roman" w:hAnsi="Times New Roman" w:cs="Times New Roman"/>
          <w:sz w:val="22"/>
          <w:szCs w:val="22"/>
        </w:rPr>
        <w:t>basically will cede back to the captive insurance</w:t>
      </w:r>
      <w:r>
        <w:rPr>
          <w:rFonts w:ascii="Times New Roman" w:hAnsi="Times New Roman" w:cs="Times New Roman"/>
          <w:sz w:val="22"/>
          <w:szCs w:val="22"/>
        </w:rPr>
        <w:t xml:space="preserve"> </w:t>
      </w:r>
      <w:r w:rsidRPr="00FF3D82">
        <w:rPr>
          <w:rFonts w:ascii="Times New Roman" w:hAnsi="Times New Roman" w:cs="Times New Roman"/>
          <w:sz w:val="22"/>
          <w:szCs w:val="22"/>
        </w:rPr>
        <w:t>company a small portion for that pool of risk. So</w:t>
      </w:r>
      <w:r>
        <w:rPr>
          <w:rFonts w:ascii="Times New Roman" w:hAnsi="Times New Roman" w:cs="Times New Roman"/>
          <w:sz w:val="22"/>
          <w:szCs w:val="22"/>
        </w:rPr>
        <w:t xml:space="preserve"> </w:t>
      </w:r>
      <w:r w:rsidRPr="00FF3D82">
        <w:rPr>
          <w:rFonts w:ascii="Times New Roman" w:hAnsi="Times New Roman" w:cs="Times New Roman"/>
          <w:sz w:val="22"/>
          <w:szCs w:val="22"/>
        </w:rPr>
        <w:t>the quota share refers to the proportionate percent,</w:t>
      </w:r>
      <w:r>
        <w:rPr>
          <w:rFonts w:ascii="Times New Roman" w:hAnsi="Times New Roman" w:cs="Times New Roman"/>
          <w:sz w:val="22"/>
          <w:szCs w:val="22"/>
        </w:rPr>
        <w:t xml:space="preserve"> </w:t>
      </w:r>
      <w:r w:rsidRPr="00FF3D82">
        <w:rPr>
          <w:rFonts w:ascii="Times New Roman" w:hAnsi="Times New Roman" w:cs="Times New Roman"/>
          <w:sz w:val="22"/>
          <w:szCs w:val="22"/>
        </w:rPr>
        <w:t>whatever it happened to be.</w:t>
      </w:r>
      <w:r>
        <w:rPr>
          <w:rFonts w:ascii="Times New Roman" w:hAnsi="Times New Roman" w:cs="Times New Roman"/>
          <w:sz w:val="22"/>
          <w:szCs w:val="22"/>
        </w:rPr>
        <w:t>”  Mr. Snyder further testified at page 36 that “</w:t>
      </w:r>
      <w:r w:rsidRPr="000D0EAE">
        <w:rPr>
          <w:rFonts w:ascii="Times New Roman" w:hAnsi="Times New Roman" w:cs="Times New Roman"/>
          <w:sz w:val="22"/>
          <w:szCs w:val="22"/>
        </w:rPr>
        <w:t>In this instance the stop loss reinsurance</w:t>
      </w:r>
      <w:r>
        <w:rPr>
          <w:rFonts w:ascii="Times New Roman" w:hAnsi="Times New Roman" w:cs="Times New Roman"/>
          <w:sz w:val="22"/>
          <w:szCs w:val="22"/>
        </w:rPr>
        <w:t xml:space="preserve"> </w:t>
      </w:r>
      <w:r w:rsidRPr="000D0EAE">
        <w:rPr>
          <w:rFonts w:ascii="Times New Roman" w:hAnsi="Times New Roman" w:cs="Times New Roman"/>
          <w:sz w:val="22"/>
          <w:szCs w:val="22"/>
        </w:rPr>
        <w:t>agreement represented a specific proportion of risk</w:t>
      </w:r>
      <w:r>
        <w:rPr>
          <w:rFonts w:ascii="Times New Roman" w:hAnsi="Times New Roman" w:cs="Times New Roman"/>
          <w:sz w:val="22"/>
          <w:szCs w:val="22"/>
        </w:rPr>
        <w:t xml:space="preserve"> </w:t>
      </w:r>
      <w:r w:rsidRPr="000D0EAE">
        <w:rPr>
          <w:rFonts w:ascii="Times New Roman" w:hAnsi="Times New Roman" w:cs="Times New Roman"/>
          <w:sz w:val="22"/>
          <w:szCs w:val="22"/>
        </w:rPr>
        <w:t>that was underwritten by a captive insurance company</w:t>
      </w:r>
      <w:r>
        <w:rPr>
          <w:rFonts w:ascii="Times New Roman" w:hAnsi="Times New Roman" w:cs="Times New Roman"/>
          <w:sz w:val="22"/>
          <w:szCs w:val="22"/>
        </w:rPr>
        <w:t xml:space="preserve"> </w:t>
      </w:r>
      <w:r w:rsidRPr="000D0EAE">
        <w:rPr>
          <w:rFonts w:ascii="Times New Roman" w:hAnsi="Times New Roman" w:cs="Times New Roman"/>
          <w:sz w:val="22"/>
          <w:szCs w:val="22"/>
        </w:rPr>
        <w:t>that was</w:t>
      </w:r>
      <w:r>
        <w:rPr>
          <w:rFonts w:ascii="Times New Roman" w:hAnsi="Times New Roman" w:cs="Times New Roman"/>
          <w:sz w:val="22"/>
          <w:szCs w:val="22"/>
        </w:rPr>
        <w:t>…</w:t>
      </w:r>
      <w:r w:rsidRPr="000D0EAE">
        <w:rPr>
          <w:rFonts w:ascii="Times New Roman" w:hAnsi="Times New Roman" w:cs="Times New Roman"/>
          <w:sz w:val="22"/>
          <w:szCs w:val="22"/>
        </w:rPr>
        <w:t xml:space="preserve"> </w:t>
      </w:r>
      <w:r>
        <w:rPr>
          <w:rFonts w:ascii="Times New Roman" w:hAnsi="Times New Roman" w:cs="Times New Roman"/>
          <w:sz w:val="22"/>
          <w:szCs w:val="22"/>
        </w:rPr>
        <w:t xml:space="preserve">[jointly] provided </w:t>
      </w:r>
      <w:r w:rsidRPr="000D0EAE">
        <w:rPr>
          <w:rFonts w:ascii="Times New Roman" w:hAnsi="Times New Roman" w:cs="Times New Roman"/>
          <w:sz w:val="22"/>
          <w:szCs w:val="22"/>
        </w:rPr>
        <w:t>directly by the reinsurer to the underlying</w:t>
      </w:r>
      <w:r>
        <w:rPr>
          <w:rFonts w:ascii="Times New Roman" w:hAnsi="Times New Roman" w:cs="Times New Roman"/>
          <w:sz w:val="22"/>
          <w:szCs w:val="22"/>
        </w:rPr>
        <w:t xml:space="preserve"> </w:t>
      </w:r>
      <w:r w:rsidRPr="000D0EAE">
        <w:rPr>
          <w:rFonts w:ascii="Times New Roman" w:hAnsi="Times New Roman" w:cs="Times New Roman"/>
          <w:sz w:val="22"/>
          <w:szCs w:val="22"/>
        </w:rPr>
        <w:t>insured. So a percentage of the business was placed</w:t>
      </w:r>
      <w:r>
        <w:rPr>
          <w:rFonts w:ascii="Times New Roman" w:hAnsi="Times New Roman" w:cs="Times New Roman"/>
          <w:sz w:val="22"/>
          <w:szCs w:val="22"/>
        </w:rPr>
        <w:t xml:space="preserve"> </w:t>
      </w:r>
      <w:r w:rsidRPr="000D0EAE">
        <w:rPr>
          <w:rFonts w:ascii="Times New Roman" w:hAnsi="Times New Roman" w:cs="Times New Roman"/>
          <w:sz w:val="22"/>
          <w:szCs w:val="22"/>
        </w:rPr>
        <w:t>directly with the joint stop loss reinsurer, and this</w:t>
      </w:r>
      <w:r>
        <w:rPr>
          <w:rFonts w:ascii="Times New Roman" w:hAnsi="Times New Roman" w:cs="Times New Roman"/>
          <w:sz w:val="22"/>
          <w:szCs w:val="22"/>
        </w:rPr>
        <w:t xml:space="preserve"> </w:t>
      </w:r>
      <w:r w:rsidRPr="000D0EAE">
        <w:rPr>
          <w:rFonts w:ascii="Times New Roman" w:hAnsi="Times New Roman" w:cs="Times New Roman"/>
          <w:sz w:val="22"/>
          <w:szCs w:val="22"/>
        </w:rPr>
        <w:t>terminology refers to that.</w:t>
      </w:r>
      <w:r>
        <w:rPr>
          <w:rFonts w:ascii="Times New Roman" w:hAnsi="Times New Roman" w:cs="Times New Roman"/>
          <w:sz w:val="22"/>
          <w:szCs w:val="22"/>
        </w:rPr>
        <w:t>”</w:t>
      </w:r>
    </w:p>
    <w:p w14:paraId="084D6254" w14:textId="77777777" w:rsidR="00434620" w:rsidRPr="003918F1" w:rsidRDefault="00434620" w:rsidP="001F508A">
      <w:pPr>
        <w:pStyle w:val="EndnoteText"/>
        <w:rPr>
          <w:rFonts w:ascii="Times New Roman" w:hAnsi="Times New Roman" w:cs="Times New Roman"/>
          <w:sz w:val="22"/>
          <w:szCs w:val="22"/>
        </w:rPr>
      </w:pPr>
    </w:p>
  </w:endnote>
  <w:endnote w:id="39">
    <w:p w14:paraId="1BC1EAAA" w14:textId="33F2E196" w:rsidR="00434620" w:rsidRDefault="00434620" w:rsidP="001F508A">
      <w:pPr>
        <w:pStyle w:val="EndnoteText"/>
        <w:rPr>
          <w:rFonts w:ascii="Times New Roman" w:hAnsi="Times New Roman" w:cs="Times New Roman"/>
          <w:sz w:val="22"/>
          <w:szCs w:val="22"/>
        </w:rPr>
      </w:pPr>
      <w:r w:rsidRPr="00972D00">
        <w:rPr>
          <w:rStyle w:val="EndnoteReference"/>
          <w:rFonts w:ascii="Times New Roman" w:hAnsi="Times New Roman" w:cs="Times New Roman"/>
          <w:sz w:val="22"/>
          <w:szCs w:val="22"/>
        </w:rPr>
        <w:endnoteRef/>
      </w:r>
      <w:r w:rsidRPr="00972D00">
        <w:rPr>
          <w:rFonts w:ascii="Times New Roman" w:hAnsi="Times New Roman" w:cs="Times New Roman"/>
          <w:sz w:val="22"/>
          <w:szCs w:val="22"/>
        </w:rPr>
        <w:t xml:space="preserve"> </w:t>
      </w:r>
      <w:r w:rsidRPr="00654304">
        <w:rPr>
          <w:rFonts w:ascii="Times New Roman" w:hAnsi="Times New Roman" w:cs="Times New Roman"/>
          <w:i/>
          <w:sz w:val="22"/>
          <w:szCs w:val="22"/>
        </w:rPr>
        <w:t>See</w:t>
      </w:r>
      <w:r w:rsidRPr="00972D00">
        <w:rPr>
          <w:rFonts w:ascii="Times New Roman" w:hAnsi="Times New Roman" w:cs="Times New Roman"/>
          <w:sz w:val="22"/>
          <w:szCs w:val="22"/>
        </w:rPr>
        <w:t xml:space="preserve"> </w:t>
      </w:r>
      <w:r w:rsidRPr="00230831">
        <w:rPr>
          <w:rFonts w:ascii="Times New Roman" w:hAnsi="Times New Roman" w:cs="Times New Roman"/>
          <w:sz w:val="22"/>
          <w:szCs w:val="22"/>
        </w:rPr>
        <w:t xml:space="preserve">Exhibit </w:t>
      </w:r>
      <w:r>
        <w:rPr>
          <w:rFonts w:ascii="Times New Roman" w:hAnsi="Times New Roman" w:cs="Times New Roman"/>
          <w:sz w:val="22"/>
          <w:szCs w:val="22"/>
        </w:rPr>
        <w:t>96-J</w:t>
      </w:r>
      <w:r w:rsidRPr="00230831">
        <w:rPr>
          <w:rFonts w:ascii="Times New Roman" w:hAnsi="Times New Roman" w:cs="Times New Roman"/>
          <w:sz w:val="22"/>
          <w:szCs w:val="22"/>
        </w:rPr>
        <w:t xml:space="preserve"> (</w:t>
      </w:r>
      <w:r>
        <w:rPr>
          <w:rFonts w:ascii="Times New Roman" w:hAnsi="Times New Roman" w:cs="Times New Roman"/>
          <w:sz w:val="22"/>
          <w:szCs w:val="22"/>
        </w:rPr>
        <w:t>Letter from Myron Steves Insurance Solutions to PoolRe Insurance Corp.</w:t>
      </w:r>
      <w:r w:rsidRPr="00230831">
        <w:rPr>
          <w:rFonts w:ascii="Times New Roman" w:hAnsi="Times New Roman" w:cs="Times New Roman"/>
          <w:sz w:val="22"/>
          <w:szCs w:val="22"/>
        </w:rPr>
        <w:t>, Ma</w:t>
      </w:r>
      <w:r>
        <w:rPr>
          <w:rFonts w:ascii="Times New Roman" w:hAnsi="Times New Roman" w:cs="Times New Roman"/>
          <w:sz w:val="22"/>
          <w:szCs w:val="22"/>
        </w:rPr>
        <w:t>y</w:t>
      </w:r>
      <w:r w:rsidRPr="00230831">
        <w:rPr>
          <w:rFonts w:ascii="Times New Roman" w:hAnsi="Times New Roman" w:cs="Times New Roman"/>
          <w:sz w:val="22"/>
          <w:szCs w:val="22"/>
        </w:rPr>
        <w:t xml:space="preserve"> </w:t>
      </w:r>
      <w:r>
        <w:rPr>
          <w:rFonts w:ascii="Times New Roman" w:hAnsi="Times New Roman" w:cs="Times New Roman"/>
          <w:sz w:val="22"/>
          <w:szCs w:val="22"/>
        </w:rPr>
        <w:t>31</w:t>
      </w:r>
      <w:r w:rsidRPr="00230831">
        <w:rPr>
          <w:rFonts w:ascii="Times New Roman" w:hAnsi="Times New Roman" w:cs="Times New Roman"/>
          <w:sz w:val="22"/>
          <w:szCs w:val="22"/>
        </w:rPr>
        <w:t>, 20</w:t>
      </w:r>
      <w:r>
        <w:rPr>
          <w:rFonts w:ascii="Times New Roman" w:hAnsi="Times New Roman" w:cs="Times New Roman"/>
          <w:sz w:val="22"/>
          <w:szCs w:val="22"/>
        </w:rPr>
        <w:t>05, signed by Robert L. Snyder, Director, Risk Consulting</w:t>
      </w:r>
      <w:r w:rsidRPr="00230831">
        <w:rPr>
          <w:rFonts w:ascii="Times New Roman" w:hAnsi="Times New Roman" w:cs="Times New Roman"/>
          <w:sz w:val="22"/>
          <w:szCs w:val="22"/>
        </w:rPr>
        <w:t>)</w:t>
      </w:r>
      <w:r>
        <w:rPr>
          <w:rFonts w:ascii="Times New Roman" w:hAnsi="Times New Roman" w:cs="Times New Roman"/>
          <w:sz w:val="22"/>
          <w:szCs w:val="22"/>
        </w:rPr>
        <w:t xml:space="preserve"> where Mr. Snyder stated: “</w:t>
      </w:r>
      <w:r w:rsidRPr="005240FD">
        <w:rPr>
          <w:rFonts w:ascii="Times New Roman" w:hAnsi="Times New Roman" w:cs="Times New Roman"/>
          <w:sz w:val="22"/>
          <w:szCs w:val="22"/>
        </w:rPr>
        <w:t>The stop loss structure is one alte</w:t>
      </w:r>
      <w:r>
        <w:rPr>
          <w:rFonts w:ascii="Times New Roman" w:hAnsi="Times New Roman" w:cs="Times New Roman"/>
          <w:sz w:val="22"/>
          <w:szCs w:val="22"/>
        </w:rPr>
        <w:t>rn</w:t>
      </w:r>
      <w:r w:rsidRPr="005240FD">
        <w:rPr>
          <w:rFonts w:ascii="Times New Roman" w:hAnsi="Times New Roman" w:cs="Times New Roman"/>
          <w:sz w:val="22"/>
          <w:szCs w:val="22"/>
        </w:rPr>
        <w:t>ative, a reasonable one, in our view, to limiting the liability of the</w:t>
      </w:r>
      <w:r>
        <w:rPr>
          <w:rFonts w:ascii="Times New Roman" w:hAnsi="Times New Roman" w:cs="Times New Roman"/>
          <w:sz w:val="22"/>
          <w:szCs w:val="22"/>
        </w:rPr>
        <w:t xml:space="preserve"> ‘</w:t>
      </w:r>
      <w:r w:rsidRPr="005240FD">
        <w:rPr>
          <w:rFonts w:ascii="Times New Roman" w:hAnsi="Times New Roman" w:cs="Times New Roman"/>
          <w:sz w:val="22"/>
          <w:szCs w:val="22"/>
        </w:rPr>
        <w:t>primary</w:t>
      </w:r>
      <w:r>
        <w:rPr>
          <w:rFonts w:ascii="Times New Roman" w:hAnsi="Times New Roman" w:cs="Times New Roman"/>
          <w:sz w:val="22"/>
          <w:szCs w:val="22"/>
        </w:rPr>
        <w:t>’</w:t>
      </w:r>
      <w:r w:rsidRPr="005240FD">
        <w:rPr>
          <w:rFonts w:ascii="Times New Roman" w:hAnsi="Times New Roman" w:cs="Times New Roman"/>
          <w:sz w:val="22"/>
          <w:szCs w:val="22"/>
        </w:rPr>
        <w:t xml:space="preserve"> insurer, and assuring the insured of a source of funds to pay losses which may be in excess of</w:t>
      </w:r>
      <w:r>
        <w:rPr>
          <w:rFonts w:ascii="Times New Roman" w:hAnsi="Times New Roman" w:cs="Times New Roman"/>
          <w:sz w:val="22"/>
          <w:szCs w:val="22"/>
        </w:rPr>
        <w:t xml:space="preserve"> </w:t>
      </w:r>
      <w:r w:rsidRPr="005240FD">
        <w:rPr>
          <w:rFonts w:ascii="Times New Roman" w:hAnsi="Times New Roman" w:cs="Times New Roman"/>
          <w:sz w:val="22"/>
          <w:szCs w:val="22"/>
        </w:rPr>
        <w:t>the amounts the primary insurer desires to retain. Other structures common to the insurance industry can</w:t>
      </w:r>
      <w:r>
        <w:rPr>
          <w:rFonts w:ascii="Times New Roman" w:hAnsi="Times New Roman" w:cs="Times New Roman"/>
          <w:sz w:val="22"/>
          <w:szCs w:val="22"/>
        </w:rPr>
        <w:t xml:space="preserve"> </w:t>
      </w:r>
      <w:r w:rsidRPr="005240FD">
        <w:rPr>
          <w:rFonts w:ascii="Times New Roman" w:hAnsi="Times New Roman" w:cs="Times New Roman"/>
          <w:sz w:val="22"/>
          <w:szCs w:val="22"/>
        </w:rPr>
        <w:t>be utilized to achieve a similar result, such as the purchase of primary insurance from one insurer, and</w:t>
      </w:r>
      <w:r>
        <w:rPr>
          <w:rFonts w:ascii="Times New Roman" w:hAnsi="Times New Roman" w:cs="Times New Roman"/>
          <w:sz w:val="22"/>
          <w:szCs w:val="22"/>
        </w:rPr>
        <w:t xml:space="preserve"> </w:t>
      </w:r>
      <w:r w:rsidRPr="005240FD">
        <w:rPr>
          <w:rFonts w:ascii="Times New Roman" w:hAnsi="Times New Roman" w:cs="Times New Roman"/>
          <w:sz w:val="22"/>
          <w:szCs w:val="22"/>
        </w:rPr>
        <w:t xml:space="preserve">direct excess (or </w:t>
      </w:r>
      <w:r>
        <w:rPr>
          <w:rFonts w:ascii="Times New Roman" w:hAnsi="Times New Roman" w:cs="Times New Roman"/>
          <w:sz w:val="22"/>
          <w:szCs w:val="22"/>
        </w:rPr>
        <w:t>“</w:t>
      </w:r>
      <w:r w:rsidRPr="005240FD">
        <w:rPr>
          <w:rFonts w:ascii="Times New Roman" w:hAnsi="Times New Roman" w:cs="Times New Roman"/>
          <w:sz w:val="22"/>
          <w:szCs w:val="22"/>
        </w:rPr>
        <w:t>'umbrella</w:t>
      </w:r>
      <w:r>
        <w:rPr>
          <w:rFonts w:ascii="Times New Roman" w:hAnsi="Times New Roman" w:cs="Times New Roman"/>
          <w:sz w:val="22"/>
          <w:szCs w:val="22"/>
        </w:rPr>
        <w:t>”</w:t>
      </w:r>
      <w:r w:rsidRPr="005240FD">
        <w:rPr>
          <w:rFonts w:ascii="Times New Roman" w:hAnsi="Times New Roman" w:cs="Times New Roman"/>
          <w:sz w:val="22"/>
          <w:szCs w:val="22"/>
        </w:rPr>
        <w:t xml:space="preserve"> insurance) provided from another insurer on the same coverage terms as the</w:t>
      </w:r>
      <w:r>
        <w:rPr>
          <w:rFonts w:ascii="Times New Roman" w:hAnsi="Times New Roman" w:cs="Times New Roman"/>
          <w:sz w:val="22"/>
          <w:szCs w:val="22"/>
        </w:rPr>
        <w:t xml:space="preserve"> </w:t>
      </w:r>
      <w:r w:rsidRPr="005240FD">
        <w:rPr>
          <w:rFonts w:ascii="Times New Roman" w:hAnsi="Times New Roman" w:cs="Times New Roman"/>
          <w:sz w:val="22"/>
          <w:szCs w:val="22"/>
        </w:rPr>
        <w:t>primary. Alternatively, several insurers might share risk on a proportionate basis within the same layer of</w:t>
      </w:r>
      <w:r>
        <w:rPr>
          <w:rFonts w:ascii="Times New Roman" w:hAnsi="Times New Roman" w:cs="Times New Roman"/>
          <w:sz w:val="22"/>
          <w:szCs w:val="22"/>
        </w:rPr>
        <w:t xml:space="preserve"> </w:t>
      </w:r>
      <w:r w:rsidRPr="005240FD">
        <w:rPr>
          <w:rFonts w:ascii="Times New Roman" w:hAnsi="Times New Roman" w:cs="Times New Roman"/>
          <w:sz w:val="22"/>
          <w:szCs w:val="22"/>
        </w:rPr>
        <w:t xml:space="preserve">coverage on a </w:t>
      </w:r>
      <w:r>
        <w:rPr>
          <w:rFonts w:ascii="Times New Roman" w:hAnsi="Times New Roman" w:cs="Times New Roman"/>
          <w:sz w:val="22"/>
          <w:szCs w:val="22"/>
        </w:rPr>
        <w:t>‘</w:t>
      </w:r>
      <w:r w:rsidRPr="005240FD">
        <w:rPr>
          <w:rFonts w:ascii="Times New Roman" w:hAnsi="Times New Roman" w:cs="Times New Roman"/>
          <w:sz w:val="22"/>
          <w:szCs w:val="22"/>
        </w:rPr>
        <w:t>quota share</w:t>
      </w:r>
      <w:r>
        <w:rPr>
          <w:rFonts w:ascii="Times New Roman" w:hAnsi="Times New Roman" w:cs="Times New Roman"/>
          <w:sz w:val="22"/>
          <w:szCs w:val="22"/>
        </w:rPr>
        <w:t>’</w:t>
      </w:r>
      <w:r w:rsidRPr="005240FD">
        <w:rPr>
          <w:rFonts w:ascii="Times New Roman" w:hAnsi="Times New Roman" w:cs="Times New Roman"/>
          <w:sz w:val="22"/>
          <w:szCs w:val="22"/>
        </w:rPr>
        <w:t xml:space="preserve"> basis</w:t>
      </w:r>
      <w:r>
        <w:rPr>
          <w:rFonts w:ascii="Times New Roman" w:hAnsi="Times New Roman" w:cs="Times New Roman"/>
          <w:sz w:val="22"/>
          <w:szCs w:val="22"/>
        </w:rPr>
        <w:t>… “</w:t>
      </w:r>
      <w:r w:rsidRPr="00525A33">
        <w:rPr>
          <w:rFonts w:ascii="Times New Roman" w:hAnsi="Times New Roman" w:cs="Times New Roman"/>
          <w:sz w:val="22"/>
          <w:szCs w:val="22"/>
        </w:rPr>
        <w:t>The stop loss program, accordingly, is one of several acceptable approaches to limiting the risk ret</w:t>
      </w:r>
      <w:r>
        <w:rPr>
          <w:rFonts w:ascii="Times New Roman" w:hAnsi="Times New Roman" w:cs="Times New Roman"/>
          <w:sz w:val="22"/>
          <w:szCs w:val="22"/>
        </w:rPr>
        <w:t>a</w:t>
      </w:r>
      <w:r w:rsidRPr="00525A33">
        <w:rPr>
          <w:rFonts w:ascii="Times New Roman" w:hAnsi="Times New Roman" w:cs="Times New Roman"/>
          <w:sz w:val="22"/>
          <w:szCs w:val="22"/>
        </w:rPr>
        <w:t>ined</w:t>
      </w:r>
      <w:r>
        <w:rPr>
          <w:rFonts w:ascii="Times New Roman" w:hAnsi="Times New Roman" w:cs="Times New Roman"/>
          <w:sz w:val="22"/>
          <w:szCs w:val="22"/>
        </w:rPr>
        <w:t xml:space="preserve"> </w:t>
      </w:r>
      <w:r w:rsidRPr="00525A33">
        <w:rPr>
          <w:rFonts w:ascii="Times New Roman" w:hAnsi="Times New Roman" w:cs="Times New Roman"/>
          <w:sz w:val="22"/>
          <w:szCs w:val="22"/>
        </w:rPr>
        <w:t>by a particular insurer. In the PoolRe model, clearly most of the risk is retained by the captive insurer in</w:t>
      </w:r>
      <w:r>
        <w:rPr>
          <w:rFonts w:ascii="Times New Roman" w:hAnsi="Times New Roman" w:cs="Times New Roman"/>
          <w:sz w:val="22"/>
          <w:szCs w:val="22"/>
        </w:rPr>
        <w:t xml:space="preserve"> </w:t>
      </w:r>
      <w:r w:rsidRPr="00525A33">
        <w:rPr>
          <w:rFonts w:ascii="Times New Roman" w:hAnsi="Times New Roman" w:cs="Times New Roman"/>
          <w:sz w:val="22"/>
          <w:szCs w:val="22"/>
        </w:rPr>
        <w:t xml:space="preserve">the first instance, with the stop </w:t>
      </w:r>
      <w:r>
        <w:rPr>
          <w:rFonts w:ascii="Times New Roman" w:hAnsi="Times New Roman" w:cs="Times New Roman"/>
          <w:sz w:val="22"/>
          <w:szCs w:val="22"/>
        </w:rPr>
        <w:t>l</w:t>
      </w:r>
      <w:r w:rsidRPr="00525A33">
        <w:rPr>
          <w:rFonts w:ascii="Times New Roman" w:hAnsi="Times New Roman" w:cs="Times New Roman"/>
          <w:sz w:val="22"/>
          <w:szCs w:val="22"/>
        </w:rPr>
        <w:t>oss coverage applying upon the happening of various triggering events.</w:t>
      </w:r>
      <w:r>
        <w:rPr>
          <w:rFonts w:ascii="Times New Roman" w:hAnsi="Times New Roman" w:cs="Times New Roman"/>
          <w:sz w:val="22"/>
          <w:szCs w:val="22"/>
        </w:rPr>
        <w:t xml:space="preserve"> </w:t>
      </w:r>
      <w:r w:rsidRPr="00525A33">
        <w:rPr>
          <w:rFonts w:ascii="Times New Roman" w:hAnsi="Times New Roman" w:cs="Times New Roman"/>
          <w:sz w:val="22"/>
          <w:szCs w:val="22"/>
        </w:rPr>
        <w:t>The 81.5%/18.5% premi</w:t>
      </w:r>
      <w:r>
        <w:rPr>
          <w:rFonts w:ascii="Times New Roman" w:hAnsi="Times New Roman" w:cs="Times New Roman"/>
          <w:sz w:val="22"/>
          <w:szCs w:val="22"/>
        </w:rPr>
        <w:t>um</w:t>
      </w:r>
      <w:r w:rsidRPr="00525A33">
        <w:rPr>
          <w:rFonts w:ascii="Times New Roman" w:hAnsi="Times New Roman" w:cs="Times New Roman"/>
          <w:sz w:val="22"/>
          <w:szCs w:val="22"/>
        </w:rPr>
        <w:t xml:space="preserve"> allocation is reasonable within this context, recognizing that in our judgment</w:t>
      </w:r>
      <w:r>
        <w:rPr>
          <w:rFonts w:ascii="Times New Roman" w:hAnsi="Times New Roman" w:cs="Times New Roman"/>
          <w:sz w:val="22"/>
          <w:szCs w:val="22"/>
        </w:rPr>
        <w:t xml:space="preserve"> </w:t>
      </w:r>
      <w:r w:rsidRPr="00525A33">
        <w:rPr>
          <w:rFonts w:ascii="Times New Roman" w:hAnsi="Times New Roman" w:cs="Times New Roman"/>
          <w:sz w:val="22"/>
          <w:szCs w:val="22"/>
        </w:rPr>
        <w:t>stop loss coverage in general might fairly be priced at anywhere from 2.5% to 30% of written premium.</w:t>
      </w:r>
      <w:r>
        <w:rPr>
          <w:rFonts w:ascii="Times New Roman" w:hAnsi="Times New Roman" w:cs="Times New Roman"/>
          <w:sz w:val="22"/>
          <w:szCs w:val="22"/>
        </w:rPr>
        <w:t>”</w:t>
      </w:r>
    </w:p>
    <w:p w14:paraId="79542D6F" w14:textId="77777777" w:rsidR="00434620" w:rsidRDefault="00434620" w:rsidP="001F508A">
      <w:pPr>
        <w:pStyle w:val="EndnoteText"/>
      </w:pPr>
    </w:p>
  </w:endnote>
  <w:endnote w:id="40">
    <w:p w14:paraId="2D5FE593" w14:textId="2D11A0E6" w:rsidR="00434620" w:rsidRPr="00366B72" w:rsidRDefault="00434620" w:rsidP="00ED09F4">
      <w:pPr>
        <w:pStyle w:val="EndnoteText"/>
        <w:rPr>
          <w:rFonts w:ascii="Times New Roman" w:hAnsi="Times New Roman" w:cs="Times New Roman"/>
          <w:sz w:val="22"/>
          <w:szCs w:val="22"/>
        </w:rPr>
      </w:pPr>
      <w:r w:rsidRPr="00366B72">
        <w:rPr>
          <w:rStyle w:val="EndnoteReference"/>
          <w:rFonts w:ascii="Times New Roman" w:hAnsi="Times New Roman" w:cs="Times New Roman"/>
          <w:sz w:val="22"/>
          <w:szCs w:val="22"/>
        </w:rPr>
        <w:endnoteRef/>
      </w:r>
      <w:r w:rsidRPr="00366B72">
        <w:rPr>
          <w:rFonts w:ascii="Times New Roman" w:hAnsi="Times New Roman" w:cs="Times New Roman"/>
          <w:sz w:val="22"/>
          <w:szCs w:val="22"/>
        </w:rPr>
        <w:t xml:space="preserve"> </w:t>
      </w:r>
      <w:r w:rsidRPr="00654304">
        <w:rPr>
          <w:rFonts w:ascii="Times New Roman" w:hAnsi="Times New Roman" w:cs="Times New Roman"/>
          <w:i/>
          <w:sz w:val="22"/>
          <w:szCs w:val="22"/>
        </w:rPr>
        <w:t>See</w:t>
      </w:r>
      <w:r w:rsidRPr="00715A0A">
        <w:rPr>
          <w:rFonts w:ascii="Times New Roman" w:hAnsi="Times New Roman" w:cs="Times New Roman"/>
          <w:sz w:val="22"/>
          <w:szCs w:val="22"/>
        </w:rPr>
        <w:t xml:space="preserve"> Exhibit 104-P (Expert Report of Dr. Neil Doherty, March 27, 2017)</w:t>
      </w:r>
      <w:r>
        <w:rPr>
          <w:rFonts w:ascii="Times New Roman" w:hAnsi="Times New Roman" w:cs="Times New Roman"/>
          <w:sz w:val="22"/>
          <w:szCs w:val="22"/>
        </w:rPr>
        <w:t>, page 27</w:t>
      </w:r>
      <w:r w:rsidRPr="00715A0A">
        <w:rPr>
          <w:rFonts w:ascii="Times New Roman" w:hAnsi="Times New Roman" w:cs="Times New Roman"/>
          <w:sz w:val="22"/>
          <w:szCs w:val="22"/>
        </w:rPr>
        <w:t xml:space="preserve">.  </w:t>
      </w:r>
    </w:p>
    <w:p w14:paraId="52F701C2" w14:textId="77777777" w:rsidR="00434620" w:rsidRPr="00C72311" w:rsidRDefault="00434620" w:rsidP="00ED09F4">
      <w:pPr>
        <w:pStyle w:val="EndnoteText"/>
        <w:rPr>
          <w:rFonts w:ascii="Times New Roman" w:hAnsi="Times New Roman" w:cs="Times New Roman"/>
          <w:sz w:val="22"/>
          <w:szCs w:val="22"/>
        </w:rPr>
      </w:pPr>
    </w:p>
  </w:endnote>
  <w:endnote w:id="41">
    <w:p w14:paraId="690B42A5" w14:textId="77777777" w:rsidR="00434620" w:rsidRPr="00C72311" w:rsidRDefault="00434620" w:rsidP="00ED09F4">
      <w:pPr>
        <w:pStyle w:val="EndnoteText"/>
        <w:rPr>
          <w:rFonts w:ascii="Times New Roman" w:hAnsi="Times New Roman" w:cs="Times New Roman"/>
          <w:sz w:val="22"/>
          <w:szCs w:val="22"/>
        </w:rPr>
      </w:pPr>
      <w:r w:rsidRPr="00C72311">
        <w:rPr>
          <w:rStyle w:val="EndnoteReference"/>
          <w:rFonts w:ascii="Times New Roman" w:hAnsi="Times New Roman" w:cs="Times New Roman"/>
          <w:sz w:val="22"/>
          <w:szCs w:val="22"/>
        </w:rPr>
        <w:endnoteRef/>
      </w:r>
      <w:r w:rsidRPr="00C72311">
        <w:rPr>
          <w:rFonts w:ascii="Times New Roman" w:hAnsi="Times New Roman" w:cs="Times New Roman"/>
          <w:sz w:val="22"/>
          <w:szCs w:val="22"/>
        </w:rPr>
        <w:t xml:space="preserve"> </w:t>
      </w:r>
      <w:r w:rsidRPr="00C72311">
        <w:rPr>
          <w:rFonts w:ascii="Times New Roman" w:hAnsi="Times New Roman" w:cs="Times New Roman"/>
          <w:i/>
          <w:sz w:val="22"/>
          <w:szCs w:val="22"/>
        </w:rPr>
        <w:t>Id</w:t>
      </w:r>
      <w:r>
        <w:rPr>
          <w:rFonts w:ascii="Times New Roman" w:hAnsi="Times New Roman" w:cs="Times New Roman"/>
          <w:sz w:val="22"/>
          <w:szCs w:val="22"/>
        </w:rPr>
        <w:t xml:space="preserve">. at pages 14-15. </w:t>
      </w:r>
    </w:p>
    <w:p w14:paraId="7008A59B" w14:textId="77777777" w:rsidR="00434620" w:rsidRPr="009E53DF" w:rsidRDefault="00434620" w:rsidP="00ED09F4">
      <w:pPr>
        <w:pStyle w:val="EndnoteText"/>
        <w:rPr>
          <w:rFonts w:ascii="Times New Roman" w:hAnsi="Times New Roman" w:cs="Times New Roman"/>
          <w:sz w:val="22"/>
          <w:szCs w:val="22"/>
        </w:rPr>
      </w:pPr>
    </w:p>
  </w:endnote>
  <w:endnote w:id="42">
    <w:p w14:paraId="16C61A35" w14:textId="77777777" w:rsidR="00434620" w:rsidRPr="009E53DF" w:rsidRDefault="00434620" w:rsidP="00ED09F4">
      <w:pPr>
        <w:pStyle w:val="EndnoteText"/>
        <w:rPr>
          <w:rFonts w:ascii="Times New Roman" w:hAnsi="Times New Roman" w:cs="Times New Roman"/>
          <w:sz w:val="22"/>
          <w:szCs w:val="22"/>
        </w:rPr>
      </w:pPr>
      <w:r w:rsidRPr="009E53DF">
        <w:rPr>
          <w:rStyle w:val="EndnoteReference"/>
          <w:rFonts w:ascii="Times New Roman" w:hAnsi="Times New Roman" w:cs="Times New Roman"/>
          <w:sz w:val="22"/>
          <w:szCs w:val="22"/>
        </w:rPr>
        <w:endnoteRef/>
      </w:r>
      <w:r w:rsidRPr="009E53DF">
        <w:rPr>
          <w:rFonts w:ascii="Times New Roman" w:hAnsi="Times New Roman" w:cs="Times New Roman"/>
          <w:sz w:val="22"/>
          <w:szCs w:val="22"/>
        </w:rPr>
        <w:t xml:space="preserve"> </w:t>
      </w:r>
      <w:r w:rsidRPr="00C72311">
        <w:rPr>
          <w:rFonts w:ascii="Times New Roman" w:hAnsi="Times New Roman" w:cs="Times New Roman"/>
          <w:i/>
          <w:sz w:val="22"/>
          <w:szCs w:val="22"/>
        </w:rPr>
        <w:t>Id</w:t>
      </w:r>
      <w:r>
        <w:rPr>
          <w:rFonts w:ascii="Times New Roman" w:hAnsi="Times New Roman" w:cs="Times New Roman"/>
          <w:sz w:val="22"/>
          <w:szCs w:val="22"/>
        </w:rPr>
        <w:t>. at page 27.</w:t>
      </w:r>
    </w:p>
    <w:p w14:paraId="48E81023" w14:textId="77777777" w:rsidR="00434620" w:rsidRPr="00A66223" w:rsidRDefault="00434620" w:rsidP="00ED09F4">
      <w:pPr>
        <w:pStyle w:val="EndnoteText"/>
        <w:rPr>
          <w:rFonts w:ascii="Times New Roman" w:hAnsi="Times New Roman" w:cs="Times New Roman"/>
          <w:sz w:val="22"/>
          <w:szCs w:val="22"/>
        </w:rPr>
      </w:pPr>
    </w:p>
  </w:endnote>
  <w:endnote w:id="43">
    <w:p w14:paraId="09BFE0FD" w14:textId="77777777" w:rsidR="00434620" w:rsidRPr="00A66223" w:rsidRDefault="00434620" w:rsidP="00ED09F4">
      <w:pPr>
        <w:pStyle w:val="EndnoteText"/>
        <w:rPr>
          <w:rFonts w:ascii="Times New Roman" w:hAnsi="Times New Roman" w:cs="Times New Roman"/>
          <w:sz w:val="22"/>
          <w:szCs w:val="22"/>
        </w:rPr>
      </w:pPr>
      <w:r w:rsidRPr="00A66223">
        <w:rPr>
          <w:rStyle w:val="EndnoteReference"/>
          <w:rFonts w:ascii="Times New Roman" w:hAnsi="Times New Roman" w:cs="Times New Roman"/>
          <w:sz w:val="22"/>
          <w:szCs w:val="22"/>
        </w:rPr>
        <w:endnoteRef/>
      </w:r>
      <w:r w:rsidRPr="00A66223">
        <w:rPr>
          <w:rFonts w:ascii="Times New Roman" w:hAnsi="Times New Roman" w:cs="Times New Roman"/>
          <w:sz w:val="22"/>
          <w:szCs w:val="22"/>
        </w:rPr>
        <w:t xml:space="preserve"> </w:t>
      </w:r>
      <w:r w:rsidRPr="00C72311">
        <w:rPr>
          <w:rFonts w:ascii="Times New Roman" w:hAnsi="Times New Roman" w:cs="Times New Roman"/>
          <w:i/>
          <w:sz w:val="22"/>
          <w:szCs w:val="22"/>
        </w:rPr>
        <w:t>Id</w:t>
      </w:r>
      <w:r>
        <w:rPr>
          <w:rFonts w:ascii="Times New Roman" w:hAnsi="Times New Roman" w:cs="Times New Roman"/>
          <w:sz w:val="22"/>
          <w:szCs w:val="22"/>
        </w:rPr>
        <w:t>.</w:t>
      </w:r>
    </w:p>
    <w:p w14:paraId="21270E52" w14:textId="77777777" w:rsidR="00434620" w:rsidRPr="00A12C3A" w:rsidRDefault="00434620" w:rsidP="00ED09F4">
      <w:pPr>
        <w:pStyle w:val="EndnoteText"/>
        <w:rPr>
          <w:rFonts w:ascii="Times New Roman" w:hAnsi="Times New Roman" w:cs="Times New Roman"/>
          <w:sz w:val="22"/>
          <w:szCs w:val="22"/>
        </w:rPr>
      </w:pPr>
    </w:p>
  </w:endnote>
  <w:endnote w:id="44">
    <w:p w14:paraId="725D3368" w14:textId="70C8C0C1" w:rsidR="00434620" w:rsidRDefault="00434620" w:rsidP="00255FF0">
      <w:pPr>
        <w:pStyle w:val="EndnoteText"/>
        <w:rPr>
          <w:rFonts w:ascii="Times New Roman" w:hAnsi="Times New Roman" w:cs="Times New Roman"/>
          <w:sz w:val="22"/>
          <w:szCs w:val="22"/>
        </w:rPr>
      </w:pPr>
      <w:r w:rsidRPr="00A12C3A">
        <w:rPr>
          <w:rStyle w:val="EndnoteReference"/>
          <w:rFonts w:ascii="Times New Roman" w:hAnsi="Times New Roman" w:cs="Times New Roman"/>
          <w:sz w:val="22"/>
          <w:szCs w:val="22"/>
        </w:rPr>
        <w:endnoteRef/>
      </w:r>
      <w:r w:rsidRPr="00A12C3A">
        <w:rPr>
          <w:rFonts w:ascii="Times New Roman" w:hAnsi="Times New Roman" w:cs="Times New Roman"/>
          <w:sz w:val="22"/>
          <w:szCs w:val="22"/>
        </w:rPr>
        <w:t xml:space="preserve"> </w:t>
      </w:r>
      <w:r w:rsidRPr="00654304">
        <w:rPr>
          <w:rFonts w:ascii="Times New Roman" w:hAnsi="Times New Roman" w:cs="Times New Roman"/>
          <w:i/>
          <w:sz w:val="22"/>
          <w:szCs w:val="22"/>
        </w:rPr>
        <w:t>See</w:t>
      </w:r>
      <w:r w:rsidRPr="003D65F9">
        <w:rPr>
          <w:rFonts w:ascii="Times New Roman" w:hAnsi="Times New Roman" w:cs="Times New Roman"/>
          <w:sz w:val="22"/>
          <w:szCs w:val="22"/>
        </w:rPr>
        <w:t xml:space="preserve"> Appendix E of Exhibit 136-R (Opening Expert Report of Donald J. Riggin,</w:t>
      </w:r>
      <w:r>
        <w:rPr>
          <w:rFonts w:ascii="Times New Roman" w:hAnsi="Times New Roman" w:cs="Times New Roman"/>
          <w:sz w:val="22"/>
          <w:szCs w:val="22"/>
        </w:rPr>
        <w:t xml:space="preserve"> </w:t>
      </w:r>
      <w:r w:rsidRPr="003D65F9">
        <w:rPr>
          <w:rFonts w:ascii="Times New Roman" w:hAnsi="Times New Roman" w:cs="Times New Roman"/>
          <w:sz w:val="22"/>
          <w:szCs w:val="22"/>
        </w:rPr>
        <w:t>March 27, 2017</w:t>
      </w:r>
      <w:r>
        <w:rPr>
          <w:rFonts w:ascii="Times New Roman" w:hAnsi="Times New Roman" w:cs="Times New Roman"/>
          <w:sz w:val="22"/>
          <w:szCs w:val="22"/>
        </w:rPr>
        <w:t xml:space="preserve">).  </w:t>
      </w:r>
      <w:r w:rsidRPr="00517040">
        <w:rPr>
          <w:rFonts w:ascii="Times New Roman" w:hAnsi="Times New Roman" w:cs="Times New Roman"/>
          <w:i/>
          <w:sz w:val="22"/>
          <w:szCs w:val="22"/>
        </w:rPr>
        <w:t>See also</w:t>
      </w:r>
      <w:r w:rsidRPr="003D65F9">
        <w:rPr>
          <w:rFonts w:ascii="Times New Roman" w:hAnsi="Times New Roman" w:cs="Times New Roman"/>
          <w:sz w:val="22"/>
          <w:szCs w:val="22"/>
        </w:rPr>
        <w:t xml:space="preserve"> Opinion at 61 where the Court found that Reserve’s policies were actuarially determined and objectively based.  The only 3 policies underwritten by Reserve that Mr. Riggin alleged to not cover </w:t>
      </w:r>
      <w:r>
        <w:rPr>
          <w:rFonts w:ascii="Times New Roman" w:hAnsi="Times New Roman" w:cs="Times New Roman"/>
          <w:sz w:val="22"/>
          <w:szCs w:val="22"/>
        </w:rPr>
        <w:t>certain</w:t>
      </w:r>
      <w:r w:rsidRPr="003D65F9">
        <w:rPr>
          <w:rFonts w:ascii="Times New Roman" w:hAnsi="Times New Roman" w:cs="Times New Roman"/>
          <w:sz w:val="22"/>
          <w:szCs w:val="22"/>
        </w:rPr>
        <w:t xml:space="preserve"> legitimate insurable risks were the following </w:t>
      </w:r>
      <w:r>
        <w:rPr>
          <w:rFonts w:ascii="Times New Roman" w:hAnsi="Times New Roman" w:cs="Times New Roman"/>
          <w:sz w:val="22"/>
          <w:szCs w:val="22"/>
        </w:rPr>
        <w:t xml:space="preserve">3 </w:t>
      </w:r>
      <w:r w:rsidRPr="003D65F9">
        <w:rPr>
          <w:rFonts w:ascii="Times New Roman" w:hAnsi="Times New Roman" w:cs="Times New Roman"/>
          <w:sz w:val="22"/>
          <w:szCs w:val="22"/>
        </w:rPr>
        <w:t>policies: (1) Special Risk - Loss of Services Insurance Policy, (2) Special Risk - Tax Liability Policy, and, (3) Excess Directors &amp; Officers Policy</w:t>
      </w:r>
      <w:r>
        <w:rPr>
          <w:rFonts w:ascii="Times New Roman" w:hAnsi="Times New Roman" w:cs="Times New Roman"/>
          <w:sz w:val="22"/>
          <w:szCs w:val="22"/>
        </w:rPr>
        <w:t xml:space="preserve">.  As to the other 11 policies underwritten by Reserve, Riggin conceded that these policies covered at least some insurable risks.  </w:t>
      </w:r>
      <w:r w:rsidRPr="001109F3">
        <w:rPr>
          <w:rFonts w:ascii="Times New Roman" w:hAnsi="Times New Roman" w:cs="Times New Roman"/>
          <w:i/>
          <w:sz w:val="22"/>
          <w:szCs w:val="22"/>
        </w:rPr>
        <w:t>Id</w:t>
      </w:r>
      <w:r>
        <w:rPr>
          <w:rFonts w:ascii="Times New Roman" w:hAnsi="Times New Roman" w:cs="Times New Roman"/>
          <w:sz w:val="22"/>
          <w:szCs w:val="22"/>
        </w:rPr>
        <w:t>.</w:t>
      </w:r>
    </w:p>
    <w:p w14:paraId="7C8A11E4" w14:textId="77777777" w:rsidR="00434620" w:rsidRPr="001A23E9" w:rsidRDefault="00434620" w:rsidP="00ED09F4">
      <w:pPr>
        <w:pStyle w:val="EndnoteText"/>
        <w:rPr>
          <w:rFonts w:ascii="Times New Roman" w:hAnsi="Times New Roman" w:cs="Times New Roman"/>
          <w:sz w:val="22"/>
          <w:szCs w:val="22"/>
        </w:rPr>
      </w:pPr>
    </w:p>
  </w:endnote>
  <w:endnote w:id="45">
    <w:p w14:paraId="57DD546F" w14:textId="64A4F278" w:rsidR="00434620" w:rsidRPr="001A23E9" w:rsidRDefault="00434620" w:rsidP="00ED09F4">
      <w:pPr>
        <w:pStyle w:val="EndnoteText"/>
        <w:rPr>
          <w:rFonts w:ascii="Times New Roman" w:hAnsi="Times New Roman" w:cs="Times New Roman"/>
          <w:sz w:val="22"/>
          <w:szCs w:val="22"/>
        </w:rPr>
      </w:pPr>
      <w:r w:rsidRPr="001A23E9">
        <w:rPr>
          <w:rStyle w:val="EndnoteReference"/>
          <w:rFonts w:ascii="Times New Roman" w:hAnsi="Times New Roman" w:cs="Times New Roman"/>
          <w:sz w:val="22"/>
          <w:szCs w:val="22"/>
        </w:rPr>
        <w:endnoteRef/>
      </w:r>
      <w:r w:rsidRPr="001A23E9">
        <w:rPr>
          <w:rFonts w:ascii="Times New Roman" w:hAnsi="Times New Roman" w:cs="Times New Roman"/>
          <w:sz w:val="22"/>
          <w:szCs w:val="22"/>
        </w:rPr>
        <w:t xml:space="preserve"> </w:t>
      </w:r>
      <w:r w:rsidRPr="00517040">
        <w:rPr>
          <w:rFonts w:ascii="Times New Roman" w:hAnsi="Times New Roman" w:cs="Times New Roman"/>
          <w:i/>
          <w:sz w:val="22"/>
          <w:szCs w:val="22"/>
        </w:rPr>
        <w:t>See</w:t>
      </w:r>
      <w:r w:rsidRPr="004051BC">
        <w:rPr>
          <w:rFonts w:ascii="Times New Roman" w:hAnsi="Times New Roman" w:cs="Times New Roman"/>
          <w:sz w:val="22"/>
          <w:szCs w:val="22"/>
        </w:rPr>
        <w:t xml:space="preserve"> Exhibit 136-R (Opening Expert Report of Donald J. Riggin, March 27, 2017), page 10, paragraph 30</w:t>
      </w:r>
      <w:r>
        <w:rPr>
          <w:rFonts w:ascii="Times New Roman" w:hAnsi="Times New Roman" w:cs="Times New Roman"/>
          <w:sz w:val="22"/>
          <w:szCs w:val="22"/>
        </w:rPr>
        <w:t>, where Mr. Riggin stated as follows: “</w:t>
      </w:r>
      <w:r w:rsidRPr="00C531FF">
        <w:rPr>
          <w:rFonts w:ascii="Times New Roman" w:hAnsi="Times New Roman" w:cs="Times New Roman"/>
          <w:sz w:val="22"/>
          <w:szCs w:val="22"/>
        </w:rPr>
        <w:t>Poo</w:t>
      </w:r>
      <w:r>
        <w:rPr>
          <w:rFonts w:ascii="Times New Roman" w:hAnsi="Times New Roman" w:cs="Times New Roman"/>
          <w:sz w:val="22"/>
          <w:szCs w:val="22"/>
        </w:rPr>
        <w:t>l</w:t>
      </w:r>
      <w:r w:rsidRPr="00C531FF">
        <w:rPr>
          <w:rFonts w:ascii="Times New Roman" w:hAnsi="Times New Roman" w:cs="Times New Roman"/>
          <w:sz w:val="22"/>
          <w:szCs w:val="22"/>
        </w:rPr>
        <w:t>Re Insurance Corp. (</w:t>
      </w:r>
      <w:r>
        <w:rPr>
          <w:rFonts w:ascii="Times New Roman" w:hAnsi="Times New Roman" w:cs="Times New Roman"/>
          <w:sz w:val="22"/>
          <w:szCs w:val="22"/>
        </w:rPr>
        <w:t>“</w:t>
      </w:r>
      <w:r w:rsidRPr="00C531FF">
        <w:rPr>
          <w:rFonts w:ascii="Times New Roman" w:hAnsi="Times New Roman" w:cs="Times New Roman"/>
          <w:sz w:val="22"/>
          <w:szCs w:val="22"/>
        </w:rPr>
        <w:t>PoolRe</w:t>
      </w:r>
      <w:r>
        <w:rPr>
          <w:rFonts w:ascii="Times New Roman" w:hAnsi="Times New Roman" w:cs="Times New Roman"/>
          <w:sz w:val="22"/>
          <w:szCs w:val="22"/>
        </w:rPr>
        <w:t>”</w:t>
      </w:r>
      <w:r w:rsidRPr="00C531FF">
        <w:rPr>
          <w:rFonts w:ascii="Times New Roman" w:hAnsi="Times New Roman" w:cs="Times New Roman"/>
          <w:sz w:val="22"/>
          <w:szCs w:val="22"/>
        </w:rPr>
        <w:t>) is a virtual risk-blending construct. It holds</w:t>
      </w:r>
      <w:r>
        <w:rPr>
          <w:rFonts w:ascii="Times New Roman" w:hAnsi="Times New Roman" w:cs="Times New Roman"/>
          <w:sz w:val="22"/>
          <w:szCs w:val="22"/>
        </w:rPr>
        <w:t xml:space="preserve"> </w:t>
      </w:r>
      <w:r w:rsidRPr="00C531FF">
        <w:rPr>
          <w:rFonts w:ascii="Times New Roman" w:hAnsi="Times New Roman" w:cs="Times New Roman"/>
          <w:sz w:val="22"/>
          <w:szCs w:val="22"/>
        </w:rPr>
        <w:t>no risk; it merely blends risk ceded from each Capstone captive, and then cedes all of it back to</w:t>
      </w:r>
      <w:r>
        <w:rPr>
          <w:rFonts w:ascii="Times New Roman" w:hAnsi="Times New Roman" w:cs="Times New Roman"/>
          <w:sz w:val="22"/>
          <w:szCs w:val="22"/>
        </w:rPr>
        <w:t xml:space="preserve"> </w:t>
      </w:r>
      <w:r w:rsidRPr="00C531FF">
        <w:rPr>
          <w:rFonts w:ascii="Times New Roman" w:hAnsi="Times New Roman" w:cs="Times New Roman"/>
          <w:sz w:val="22"/>
          <w:szCs w:val="22"/>
        </w:rPr>
        <w:t>the individual captives from whence they came, pro rata based on the total premium amounts.</w:t>
      </w:r>
      <w:r>
        <w:rPr>
          <w:rFonts w:ascii="Times New Roman" w:hAnsi="Times New Roman" w:cs="Times New Roman"/>
          <w:sz w:val="22"/>
          <w:szCs w:val="22"/>
        </w:rPr>
        <w:t>”</w:t>
      </w:r>
    </w:p>
    <w:p w14:paraId="60FD02DC" w14:textId="77777777" w:rsidR="00434620" w:rsidRPr="001A23E9" w:rsidRDefault="00434620" w:rsidP="00ED09F4">
      <w:pPr>
        <w:pStyle w:val="EndnoteText"/>
        <w:rPr>
          <w:rFonts w:ascii="Times New Roman" w:hAnsi="Times New Roman" w:cs="Times New Roman"/>
          <w:sz w:val="22"/>
          <w:szCs w:val="22"/>
        </w:rPr>
      </w:pPr>
    </w:p>
  </w:endnote>
  <w:endnote w:id="46">
    <w:p w14:paraId="65639846" w14:textId="6C8B9EF2" w:rsidR="00434620" w:rsidRDefault="00434620" w:rsidP="00ED09F4">
      <w:pPr>
        <w:pStyle w:val="EndnoteText"/>
        <w:rPr>
          <w:rFonts w:ascii="Times New Roman" w:hAnsi="Times New Roman" w:cs="Times New Roman"/>
          <w:sz w:val="22"/>
          <w:szCs w:val="22"/>
        </w:rPr>
      </w:pPr>
      <w:r w:rsidRPr="005D021D">
        <w:rPr>
          <w:rStyle w:val="EndnoteReference"/>
          <w:rFonts w:ascii="Times New Roman" w:hAnsi="Times New Roman" w:cs="Times New Roman"/>
          <w:sz w:val="22"/>
          <w:szCs w:val="22"/>
        </w:rPr>
        <w:endnoteRef/>
      </w:r>
      <w:r w:rsidRPr="005D021D">
        <w:rPr>
          <w:rFonts w:ascii="Times New Roman" w:hAnsi="Times New Roman" w:cs="Times New Roman"/>
          <w:sz w:val="22"/>
          <w:szCs w:val="22"/>
        </w:rPr>
        <w:t xml:space="preserve"> </w:t>
      </w:r>
      <w:r w:rsidRPr="00517040">
        <w:rPr>
          <w:rFonts w:ascii="Times New Roman" w:hAnsi="Times New Roman" w:cs="Times New Roman"/>
          <w:i/>
          <w:sz w:val="22"/>
          <w:szCs w:val="22"/>
        </w:rPr>
        <w:t>See</w:t>
      </w:r>
      <w:r>
        <w:rPr>
          <w:rFonts w:ascii="Times New Roman" w:hAnsi="Times New Roman" w:cs="Times New Roman"/>
          <w:sz w:val="22"/>
          <w:szCs w:val="22"/>
        </w:rPr>
        <w:t xml:space="preserve"> </w:t>
      </w:r>
      <w:r w:rsidRPr="006530D0">
        <w:rPr>
          <w:rFonts w:ascii="Times New Roman" w:hAnsi="Times New Roman" w:cs="Times New Roman"/>
          <w:i/>
          <w:sz w:val="22"/>
          <w:szCs w:val="22"/>
        </w:rPr>
        <w:t>Avrahami</w:t>
      </w:r>
      <w:r>
        <w:rPr>
          <w:rFonts w:ascii="Times New Roman" w:hAnsi="Times New Roman" w:cs="Times New Roman"/>
          <w:sz w:val="22"/>
          <w:szCs w:val="22"/>
        </w:rPr>
        <w:t xml:space="preserve"> at pages 66-67.  Judge Holmes incorrectly cited the </w:t>
      </w:r>
      <w:r w:rsidRPr="00562232">
        <w:rPr>
          <w:rFonts w:ascii="Times New Roman" w:hAnsi="Times New Roman" w:cs="Times New Roman"/>
          <w:i/>
          <w:sz w:val="22"/>
          <w:szCs w:val="22"/>
        </w:rPr>
        <w:t>Rent-A-Center</w:t>
      </w:r>
      <w:r>
        <w:rPr>
          <w:rFonts w:ascii="Times New Roman" w:hAnsi="Times New Roman" w:cs="Times New Roman"/>
          <w:sz w:val="22"/>
          <w:szCs w:val="22"/>
        </w:rPr>
        <w:t xml:space="preserve"> case,</w:t>
      </w:r>
      <w:r w:rsidRPr="0090058B">
        <w:t xml:space="preserve"> </w:t>
      </w:r>
      <w:r w:rsidRPr="0090058B">
        <w:rPr>
          <w:rFonts w:ascii="Times New Roman" w:hAnsi="Times New Roman" w:cs="Times New Roman"/>
          <w:sz w:val="22"/>
          <w:szCs w:val="22"/>
        </w:rPr>
        <w:t>142 T.C. 1, 13 (2014)</w:t>
      </w:r>
      <w:r>
        <w:rPr>
          <w:rFonts w:ascii="Times New Roman" w:hAnsi="Times New Roman" w:cs="Times New Roman"/>
          <w:sz w:val="22"/>
          <w:szCs w:val="22"/>
        </w:rPr>
        <w:t xml:space="preserve">, for the proposition that a pooling arrangement must be conducted through a “bona fide insurance company.”  However, </w:t>
      </w:r>
      <w:r w:rsidRPr="00E47E49">
        <w:rPr>
          <w:rFonts w:ascii="Times New Roman" w:hAnsi="Times New Roman" w:cs="Times New Roman"/>
          <w:i/>
          <w:sz w:val="22"/>
          <w:szCs w:val="22"/>
        </w:rPr>
        <w:t>Rent-A-Center</w:t>
      </w:r>
      <w:r>
        <w:rPr>
          <w:rFonts w:ascii="Times New Roman" w:hAnsi="Times New Roman" w:cs="Times New Roman"/>
          <w:sz w:val="22"/>
          <w:szCs w:val="22"/>
        </w:rPr>
        <w:t xml:space="preserve"> did not involve a pooling arrangement and made no such finding.  The tax court in </w:t>
      </w:r>
      <w:r w:rsidRPr="00E47E49">
        <w:rPr>
          <w:rFonts w:ascii="Times New Roman" w:hAnsi="Times New Roman" w:cs="Times New Roman"/>
          <w:i/>
          <w:sz w:val="22"/>
          <w:szCs w:val="22"/>
        </w:rPr>
        <w:t>Rent-A-Center</w:t>
      </w:r>
      <w:r>
        <w:rPr>
          <w:rFonts w:ascii="Times New Roman" w:hAnsi="Times New Roman" w:cs="Times New Roman"/>
          <w:sz w:val="22"/>
          <w:szCs w:val="22"/>
        </w:rPr>
        <w:t xml:space="preserve"> did require </w:t>
      </w:r>
      <w:r w:rsidRPr="002955D7">
        <w:rPr>
          <w:rFonts w:ascii="Times New Roman" w:hAnsi="Times New Roman" w:cs="Times New Roman"/>
          <w:i/>
          <w:sz w:val="22"/>
          <w:szCs w:val="22"/>
        </w:rPr>
        <w:t>the captive</w:t>
      </w:r>
      <w:r>
        <w:rPr>
          <w:rFonts w:ascii="Times New Roman" w:hAnsi="Times New Roman" w:cs="Times New Roman"/>
          <w:sz w:val="22"/>
          <w:szCs w:val="22"/>
        </w:rPr>
        <w:t xml:space="preserve"> that was formed to insure Rent-A-Center (and its affiliates) to be a “bona fide insurance company,” but the non-existence of a pooling arrangement in </w:t>
      </w:r>
      <w:r w:rsidRPr="00D7224F">
        <w:rPr>
          <w:rFonts w:ascii="Times New Roman" w:hAnsi="Times New Roman" w:cs="Times New Roman"/>
          <w:i/>
          <w:sz w:val="22"/>
          <w:szCs w:val="22"/>
        </w:rPr>
        <w:t>Rent-A-Center</w:t>
      </w:r>
      <w:r>
        <w:rPr>
          <w:rFonts w:ascii="Times New Roman" w:hAnsi="Times New Roman" w:cs="Times New Roman"/>
          <w:sz w:val="22"/>
          <w:szCs w:val="22"/>
        </w:rPr>
        <w:t xml:space="preserve"> precludes the </w:t>
      </w:r>
      <w:r w:rsidRPr="00463FDA">
        <w:rPr>
          <w:rFonts w:ascii="Times New Roman" w:hAnsi="Times New Roman" w:cs="Times New Roman"/>
          <w:i/>
          <w:sz w:val="22"/>
          <w:szCs w:val="22"/>
        </w:rPr>
        <w:t>Avrahami</w:t>
      </w:r>
      <w:r>
        <w:rPr>
          <w:rFonts w:ascii="Times New Roman" w:hAnsi="Times New Roman" w:cs="Times New Roman"/>
          <w:sz w:val="22"/>
          <w:szCs w:val="22"/>
        </w:rPr>
        <w:t xml:space="preserve"> or </w:t>
      </w:r>
      <w:r w:rsidRPr="00463FDA">
        <w:rPr>
          <w:rFonts w:ascii="Times New Roman" w:hAnsi="Times New Roman" w:cs="Times New Roman"/>
          <w:i/>
          <w:sz w:val="22"/>
          <w:szCs w:val="22"/>
        </w:rPr>
        <w:t>Reserve</w:t>
      </w:r>
      <w:r>
        <w:rPr>
          <w:rFonts w:ascii="Times New Roman" w:hAnsi="Times New Roman" w:cs="Times New Roman"/>
          <w:sz w:val="22"/>
          <w:szCs w:val="22"/>
        </w:rPr>
        <w:t xml:space="preserve"> courts from extending the requirement of “bona fide insurance company” to a pooling arrangement.  </w:t>
      </w:r>
    </w:p>
    <w:p w14:paraId="38D593EA" w14:textId="77777777" w:rsidR="00434620" w:rsidRDefault="00434620" w:rsidP="00ED09F4">
      <w:pPr>
        <w:pStyle w:val="EndnoteText"/>
        <w:rPr>
          <w:rFonts w:ascii="Times New Roman" w:hAnsi="Times New Roman" w:cs="Times New Roman"/>
          <w:sz w:val="22"/>
          <w:szCs w:val="22"/>
        </w:rPr>
      </w:pPr>
    </w:p>
    <w:p w14:paraId="749853B8" w14:textId="77777777" w:rsidR="00434620" w:rsidRDefault="00434620" w:rsidP="00ED09F4">
      <w:pPr>
        <w:pStyle w:val="EndnoteText"/>
        <w:rPr>
          <w:rFonts w:ascii="Times New Roman" w:hAnsi="Times New Roman" w:cs="Times New Roman"/>
          <w:sz w:val="22"/>
          <w:szCs w:val="22"/>
        </w:rPr>
      </w:pPr>
      <w:r>
        <w:rPr>
          <w:rFonts w:ascii="Times New Roman" w:hAnsi="Times New Roman" w:cs="Times New Roman"/>
          <w:sz w:val="22"/>
          <w:szCs w:val="22"/>
        </w:rPr>
        <w:t xml:space="preserve">In point of fact, </w:t>
      </w:r>
      <w:r w:rsidRPr="00497B5A">
        <w:rPr>
          <w:rFonts w:ascii="Times New Roman" w:hAnsi="Times New Roman" w:cs="Times New Roman"/>
          <w:i/>
          <w:sz w:val="22"/>
          <w:szCs w:val="22"/>
        </w:rPr>
        <w:t>pooling arrangement</w:t>
      </w:r>
      <w:r>
        <w:rPr>
          <w:rFonts w:ascii="Times New Roman" w:hAnsi="Times New Roman" w:cs="Times New Roman"/>
          <w:i/>
          <w:sz w:val="22"/>
          <w:szCs w:val="22"/>
        </w:rPr>
        <w:t xml:space="preserve">s are </w:t>
      </w:r>
      <w:r>
        <w:rPr>
          <w:rFonts w:ascii="Times New Roman" w:hAnsi="Times New Roman" w:cs="Times New Roman"/>
          <w:sz w:val="22"/>
          <w:szCs w:val="22"/>
        </w:rPr>
        <w:t xml:space="preserve">often </w:t>
      </w:r>
      <w:r w:rsidRPr="009C5F1E">
        <w:rPr>
          <w:rFonts w:ascii="Times New Roman" w:hAnsi="Times New Roman" w:cs="Times New Roman"/>
          <w:sz w:val="22"/>
          <w:szCs w:val="22"/>
          <w:u w:val="single"/>
        </w:rPr>
        <w:t>contractual arrangement</w:t>
      </w:r>
      <w:r>
        <w:rPr>
          <w:rFonts w:ascii="Times New Roman" w:hAnsi="Times New Roman" w:cs="Times New Roman"/>
          <w:sz w:val="22"/>
          <w:szCs w:val="22"/>
          <w:u w:val="single"/>
        </w:rPr>
        <w:t>s</w:t>
      </w:r>
      <w:r>
        <w:rPr>
          <w:rFonts w:ascii="Times New Roman" w:hAnsi="Times New Roman" w:cs="Times New Roman"/>
          <w:sz w:val="22"/>
          <w:szCs w:val="22"/>
        </w:rPr>
        <w:t xml:space="preserve"> among participants.  </w:t>
      </w:r>
      <w:r w:rsidRPr="00517040">
        <w:rPr>
          <w:rFonts w:ascii="Times New Roman" w:hAnsi="Times New Roman" w:cs="Times New Roman"/>
          <w:i/>
          <w:sz w:val="22"/>
          <w:szCs w:val="22"/>
        </w:rPr>
        <w:t>See</w:t>
      </w:r>
      <w:r>
        <w:rPr>
          <w:rFonts w:ascii="Times New Roman" w:hAnsi="Times New Roman" w:cs="Times New Roman"/>
          <w:sz w:val="22"/>
          <w:szCs w:val="22"/>
        </w:rPr>
        <w:t xml:space="preserve"> A.M. Best article</w:t>
      </w:r>
      <w:r w:rsidRPr="009E3327">
        <w:rPr>
          <w:rFonts w:ascii="Times New Roman" w:hAnsi="Times New Roman" w:cs="Times New Roman"/>
          <w:sz w:val="22"/>
          <w:szCs w:val="22"/>
        </w:rPr>
        <w:t>, “R</w:t>
      </w:r>
      <w:r>
        <w:rPr>
          <w:rFonts w:ascii="Times New Roman" w:hAnsi="Times New Roman" w:cs="Times New Roman"/>
          <w:sz w:val="22"/>
          <w:szCs w:val="22"/>
        </w:rPr>
        <w:t>ating Reinsurance Pools</w:t>
      </w:r>
      <w:r w:rsidRPr="009E3327">
        <w:rPr>
          <w:rFonts w:ascii="Times New Roman" w:hAnsi="Times New Roman" w:cs="Times New Roman"/>
          <w:sz w:val="22"/>
          <w:szCs w:val="22"/>
        </w:rPr>
        <w:t xml:space="preserve">,” </w:t>
      </w:r>
      <w:r>
        <w:rPr>
          <w:rFonts w:ascii="Times New Roman" w:hAnsi="Times New Roman" w:cs="Times New Roman"/>
          <w:sz w:val="22"/>
          <w:szCs w:val="22"/>
        </w:rPr>
        <w:t>October 13</w:t>
      </w:r>
      <w:r w:rsidRPr="009E3327">
        <w:rPr>
          <w:rFonts w:ascii="Times New Roman" w:hAnsi="Times New Roman" w:cs="Times New Roman"/>
          <w:sz w:val="22"/>
          <w:szCs w:val="22"/>
        </w:rPr>
        <w:t>, 201</w:t>
      </w:r>
      <w:r>
        <w:rPr>
          <w:rFonts w:ascii="Times New Roman" w:hAnsi="Times New Roman" w:cs="Times New Roman"/>
          <w:sz w:val="22"/>
          <w:szCs w:val="22"/>
        </w:rPr>
        <w:t>7</w:t>
      </w:r>
      <w:r w:rsidRPr="009E3327">
        <w:rPr>
          <w:rFonts w:ascii="Times New Roman" w:hAnsi="Times New Roman" w:cs="Times New Roman"/>
          <w:sz w:val="22"/>
          <w:szCs w:val="22"/>
        </w:rPr>
        <w:t xml:space="preserve">. </w:t>
      </w:r>
      <w:r>
        <w:rPr>
          <w:rFonts w:ascii="Times New Roman" w:hAnsi="Times New Roman" w:cs="Times New Roman"/>
          <w:sz w:val="22"/>
          <w:szCs w:val="22"/>
        </w:rPr>
        <w:t xml:space="preserve"> This </w:t>
      </w:r>
      <w:r w:rsidRPr="009E3327">
        <w:rPr>
          <w:rFonts w:ascii="Times New Roman" w:hAnsi="Times New Roman" w:cs="Times New Roman"/>
          <w:sz w:val="22"/>
          <w:szCs w:val="22"/>
        </w:rPr>
        <w:t xml:space="preserve">article can be viewed </w:t>
      </w:r>
      <w:hyperlink r:id="rId4" w:history="1">
        <w:r w:rsidRPr="00C143CF">
          <w:rPr>
            <w:rStyle w:val="Hyperlink"/>
            <w:rFonts w:ascii="Times New Roman" w:hAnsi="Times New Roman" w:cs="Times New Roman"/>
            <w:sz w:val="22"/>
            <w:szCs w:val="22"/>
          </w:rPr>
          <w:t>here</w:t>
        </w:r>
      </w:hyperlink>
      <w:r w:rsidRPr="009E3327">
        <w:rPr>
          <w:rFonts w:ascii="Times New Roman" w:hAnsi="Times New Roman" w:cs="Times New Roman"/>
          <w:sz w:val="22"/>
          <w:szCs w:val="22"/>
        </w:rPr>
        <w:t xml:space="preserve">. </w:t>
      </w:r>
      <w:r>
        <w:rPr>
          <w:rFonts w:ascii="Times New Roman" w:hAnsi="Times New Roman" w:cs="Times New Roman"/>
          <w:sz w:val="22"/>
          <w:szCs w:val="22"/>
        </w:rPr>
        <w:t xml:space="preserve"> At page 3 of</w:t>
      </w:r>
      <w:r w:rsidRPr="009E3327">
        <w:rPr>
          <w:rFonts w:ascii="Times New Roman" w:hAnsi="Times New Roman" w:cs="Times New Roman"/>
          <w:sz w:val="22"/>
          <w:szCs w:val="22"/>
        </w:rPr>
        <w:t xml:space="preserve"> this article</w:t>
      </w:r>
      <w:r>
        <w:rPr>
          <w:rFonts w:ascii="Times New Roman" w:hAnsi="Times New Roman" w:cs="Times New Roman"/>
          <w:sz w:val="22"/>
          <w:szCs w:val="22"/>
        </w:rPr>
        <w:t>, the authors describe the structure of reinsurance pools as follows: “Reinsurance pools can be structured and governed in different ways.  There are pools that are incorporated companies, licensed and registered within a jurisdiction and subject to local regulatory requirements, which operate in a similar manner to that of a reinsurance company.  Conversely, there are pools known as policy issuing entities that may have no hard capital commitments and are based on the principle of reciprocal reinsurance, as outlined in a contractual agreement among members, the pool manager and its cedants.”</w:t>
      </w:r>
    </w:p>
    <w:p w14:paraId="12D0A046" w14:textId="77777777" w:rsidR="00434620" w:rsidRDefault="00434620" w:rsidP="00ED09F4">
      <w:pPr>
        <w:pStyle w:val="EndnoteText"/>
        <w:rPr>
          <w:rFonts w:ascii="Times New Roman" w:hAnsi="Times New Roman" w:cs="Times New Roman"/>
          <w:sz w:val="22"/>
          <w:szCs w:val="22"/>
        </w:rPr>
      </w:pPr>
    </w:p>
    <w:p w14:paraId="68A15C98" w14:textId="739DAF15" w:rsidR="00434620" w:rsidRPr="006065B3" w:rsidRDefault="00434620" w:rsidP="00ED09F4">
      <w:pPr>
        <w:pStyle w:val="EndnoteText"/>
        <w:rPr>
          <w:rFonts w:ascii="Times New Roman" w:hAnsi="Times New Roman" w:cs="Times New Roman"/>
          <w:sz w:val="22"/>
          <w:szCs w:val="22"/>
        </w:rPr>
      </w:pPr>
      <w:r>
        <w:rPr>
          <w:rFonts w:ascii="Times New Roman" w:hAnsi="Times New Roman" w:cs="Times New Roman"/>
          <w:sz w:val="22"/>
          <w:szCs w:val="22"/>
        </w:rPr>
        <w:t xml:space="preserve">The widespread practices in the insurance industry necessitate both contractual pooling arrangements and </w:t>
      </w:r>
      <w:r w:rsidRPr="00363AE1">
        <w:rPr>
          <w:rFonts w:ascii="Times New Roman" w:hAnsi="Times New Roman" w:cs="Times New Roman"/>
          <w:sz w:val="22"/>
          <w:szCs w:val="22"/>
        </w:rPr>
        <w:t>pooling arrangements implemented through an insurance company.  Nonetheless, as discussed in Section V</w:t>
      </w:r>
      <w:r>
        <w:rPr>
          <w:rFonts w:ascii="Times New Roman" w:hAnsi="Times New Roman" w:cs="Times New Roman"/>
          <w:sz w:val="22"/>
          <w:szCs w:val="22"/>
        </w:rPr>
        <w:t>(A) below</w:t>
      </w:r>
      <w:r w:rsidRPr="00363AE1">
        <w:rPr>
          <w:rFonts w:ascii="Times New Roman" w:hAnsi="Times New Roman" w:cs="Times New Roman"/>
          <w:sz w:val="22"/>
          <w:szCs w:val="22"/>
        </w:rPr>
        <w:t>, even though this was not a litigated issue at trial, the evidence presented at trial established that the pooling arrangement</w:t>
      </w:r>
      <w:r w:rsidRPr="006065B3">
        <w:rPr>
          <w:rFonts w:ascii="Times New Roman" w:hAnsi="Times New Roman" w:cs="Times New Roman"/>
          <w:sz w:val="22"/>
          <w:szCs w:val="22"/>
        </w:rPr>
        <w:t xml:space="preserve"> in </w:t>
      </w:r>
      <w:r w:rsidRPr="006065B3">
        <w:rPr>
          <w:rFonts w:ascii="Times New Roman" w:hAnsi="Times New Roman" w:cs="Times New Roman"/>
          <w:i/>
          <w:sz w:val="22"/>
          <w:szCs w:val="22"/>
        </w:rPr>
        <w:t>Reserve</w:t>
      </w:r>
      <w:r w:rsidRPr="006065B3">
        <w:rPr>
          <w:rFonts w:ascii="Times New Roman" w:hAnsi="Times New Roman" w:cs="Times New Roman"/>
          <w:sz w:val="22"/>
          <w:szCs w:val="22"/>
        </w:rPr>
        <w:t xml:space="preserve"> was a bona fide, licensed insurer.  The Court’s findings regarding the presence or absence of each factor that it discussed in applying the “bona fide insurance company” test to PoolRe was not consistent with the evidence presented.  As discussed below, Reserve carried its burden of proof </w:t>
      </w:r>
      <w:r>
        <w:rPr>
          <w:rFonts w:ascii="Times New Roman" w:hAnsi="Times New Roman" w:cs="Times New Roman"/>
          <w:sz w:val="22"/>
          <w:szCs w:val="22"/>
        </w:rPr>
        <w:t>with respect to</w:t>
      </w:r>
      <w:r w:rsidRPr="006065B3">
        <w:rPr>
          <w:rFonts w:ascii="Times New Roman" w:hAnsi="Times New Roman" w:cs="Times New Roman"/>
          <w:sz w:val="22"/>
          <w:szCs w:val="22"/>
        </w:rPr>
        <w:t xml:space="preserve"> each factor discussed by the Cour</w:t>
      </w:r>
      <w:r>
        <w:rPr>
          <w:rFonts w:ascii="Times New Roman" w:hAnsi="Times New Roman" w:cs="Times New Roman"/>
          <w:sz w:val="22"/>
          <w:szCs w:val="22"/>
        </w:rPr>
        <w:t>t, and</w:t>
      </w:r>
      <w:r w:rsidRPr="006065B3">
        <w:rPr>
          <w:rFonts w:ascii="Times New Roman" w:hAnsi="Times New Roman" w:cs="Times New Roman"/>
          <w:sz w:val="22"/>
          <w:szCs w:val="22"/>
        </w:rPr>
        <w:t xml:space="preserve"> the government failed to offer any evidence </w:t>
      </w:r>
      <w:r>
        <w:rPr>
          <w:rFonts w:ascii="Times New Roman" w:hAnsi="Times New Roman" w:cs="Times New Roman"/>
          <w:sz w:val="22"/>
          <w:szCs w:val="22"/>
        </w:rPr>
        <w:t xml:space="preserve">at trial </w:t>
      </w:r>
      <w:r w:rsidRPr="006065B3">
        <w:rPr>
          <w:rFonts w:ascii="Times New Roman" w:hAnsi="Times New Roman" w:cs="Times New Roman"/>
          <w:sz w:val="22"/>
          <w:szCs w:val="22"/>
        </w:rPr>
        <w:t>to counter the proof offered by Reserve with respect to each factor</w:t>
      </w:r>
      <w:r>
        <w:rPr>
          <w:rFonts w:ascii="Times New Roman" w:hAnsi="Times New Roman" w:cs="Times New Roman"/>
          <w:sz w:val="22"/>
          <w:szCs w:val="22"/>
        </w:rPr>
        <w:t>.</w:t>
      </w:r>
    </w:p>
    <w:p w14:paraId="116A11C8" w14:textId="77777777" w:rsidR="00434620" w:rsidRPr="00A02293" w:rsidRDefault="00434620" w:rsidP="00ED09F4">
      <w:pPr>
        <w:pStyle w:val="EndnoteText"/>
        <w:rPr>
          <w:rFonts w:ascii="Times New Roman" w:hAnsi="Times New Roman" w:cs="Times New Roman"/>
          <w:sz w:val="22"/>
          <w:szCs w:val="22"/>
        </w:rPr>
      </w:pPr>
    </w:p>
  </w:endnote>
  <w:endnote w:id="47">
    <w:p w14:paraId="2D38E1FA" w14:textId="77777777" w:rsidR="00434620" w:rsidRPr="00456E4F" w:rsidRDefault="00434620" w:rsidP="00ED09F4">
      <w:pPr>
        <w:pStyle w:val="EndnoteText"/>
        <w:rPr>
          <w:rFonts w:ascii="Times New Roman" w:hAnsi="Times New Roman" w:cs="Times New Roman"/>
          <w:sz w:val="22"/>
          <w:szCs w:val="22"/>
        </w:rPr>
      </w:pPr>
      <w:r w:rsidRPr="00456E4F">
        <w:rPr>
          <w:rStyle w:val="EndnoteReference"/>
          <w:rFonts w:ascii="Times New Roman" w:hAnsi="Times New Roman" w:cs="Times New Roman"/>
          <w:sz w:val="22"/>
          <w:szCs w:val="22"/>
        </w:rPr>
        <w:endnoteRef/>
      </w:r>
      <w:r w:rsidRPr="00456E4F">
        <w:rPr>
          <w:rFonts w:ascii="Times New Roman" w:hAnsi="Times New Roman" w:cs="Times New Roman"/>
          <w:sz w:val="22"/>
          <w:szCs w:val="22"/>
        </w:rPr>
        <w:t xml:space="preserve"> </w:t>
      </w:r>
      <w:r w:rsidRPr="00743284">
        <w:rPr>
          <w:rFonts w:ascii="Times New Roman" w:hAnsi="Times New Roman" w:cs="Times New Roman"/>
          <w:sz w:val="22"/>
          <w:szCs w:val="22"/>
        </w:rPr>
        <w:t>142 T.C. No. 1</w:t>
      </w:r>
      <w:r>
        <w:rPr>
          <w:rFonts w:ascii="Times New Roman" w:hAnsi="Times New Roman" w:cs="Times New Roman"/>
          <w:sz w:val="22"/>
          <w:szCs w:val="22"/>
        </w:rPr>
        <w:t xml:space="preserve"> (</w:t>
      </w:r>
      <w:r w:rsidRPr="00743284">
        <w:rPr>
          <w:rFonts w:ascii="Times New Roman" w:hAnsi="Times New Roman" w:cs="Times New Roman"/>
          <w:sz w:val="22"/>
          <w:szCs w:val="22"/>
        </w:rPr>
        <w:t>January 14, 2014</w:t>
      </w:r>
      <w:r>
        <w:rPr>
          <w:rFonts w:ascii="Times New Roman" w:hAnsi="Times New Roman" w:cs="Times New Roman"/>
          <w:sz w:val="22"/>
          <w:szCs w:val="22"/>
        </w:rPr>
        <w:t>).</w:t>
      </w:r>
    </w:p>
    <w:p w14:paraId="7A41EFC2" w14:textId="77777777" w:rsidR="00434620" w:rsidRPr="00456E4F" w:rsidRDefault="00434620" w:rsidP="00ED09F4">
      <w:pPr>
        <w:pStyle w:val="EndnoteText"/>
        <w:rPr>
          <w:rFonts w:ascii="Times New Roman" w:hAnsi="Times New Roman" w:cs="Times New Roman"/>
          <w:sz w:val="22"/>
          <w:szCs w:val="22"/>
        </w:rPr>
      </w:pPr>
    </w:p>
  </w:endnote>
  <w:endnote w:id="48">
    <w:p w14:paraId="4E97F1AB" w14:textId="77777777" w:rsidR="00434620" w:rsidRDefault="00434620" w:rsidP="00ED09F4">
      <w:pPr>
        <w:pStyle w:val="EndnoteText"/>
        <w:rPr>
          <w:rFonts w:ascii="Times New Roman" w:hAnsi="Times New Roman" w:cs="Times New Roman"/>
          <w:sz w:val="22"/>
          <w:szCs w:val="22"/>
        </w:rPr>
      </w:pPr>
      <w:r w:rsidRPr="00A02293">
        <w:rPr>
          <w:rStyle w:val="EndnoteReference"/>
          <w:rFonts w:ascii="Times New Roman" w:hAnsi="Times New Roman" w:cs="Times New Roman"/>
          <w:sz w:val="22"/>
          <w:szCs w:val="22"/>
        </w:rPr>
        <w:endnoteRef/>
      </w:r>
      <w:r w:rsidRPr="00A02293">
        <w:rPr>
          <w:rFonts w:ascii="Times New Roman" w:hAnsi="Times New Roman" w:cs="Times New Roman"/>
          <w:sz w:val="22"/>
          <w:szCs w:val="22"/>
        </w:rPr>
        <w:t xml:space="preserve"> </w:t>
      </w:r>
      <w:r w:rsidRPr="009A64C1">
        <w:rPr>
          <w:rFonts w:ascii="Times New Roman" w:hAnsi="Times New Roman" w:cs="Times New Roman"/>
          <w:i/>
          <w:sz w:val="22"/>
          <w:szCs w:val="22"/>
        </w:rPr>
        <w:t>Id</w:t>
      </w:r>
      <w:r>
        <w:rPr>
          <w:rFonts w:ascii="Times New Roman" w:hAnsi="Times New Roman" w:cs="Times New Roman"/>
          <w:sz w:val="22"/>
          <w:szCs w:val="22"/>
        </w:rPr>
        <w:t xml:space="preserve">.  In </w:t>
      </w:r>
      <w:r w:rsidRPr="009A64C1">
        <w:rPr>
          <w:rFonts w:ascii="Times New Roman" w:hAnsi="Times New Roman" w:cs="Times New Roman"/>
          <w:i/>
          <w:sz w:val="22"/>
          <w:szCs w:val="22"/>
        </w:rPr>
        <w:t>Rent-A-Center</w:t>
      </w:r>
      <w:r>
        <w:rPr>
          <w:rFonts w:ascii="Times New Roman" w:hAnsi="Times New Roman" w:cs="Times New Roman"/>
          <w:sz w:val="22"/>
          <w:szCs w:val="22"/>
        </w:rPr>
        <w:t>, the Rent-A-Center holding company (“RAC”) formed a wholly-owned insurance subsidiary, Legacy, for purposes of insuring workers’ compensation, automobile and general liability risk of RAC’s operating subsidiaries.  The IRS challenged the arrangement between the operating subsidiaries and Legacy on multiple grounds, including that the arrangement lacked requisite risk shifting and requisite risk distribution.  The tax court in RAC disagreed, siding with the taxpayer.  I</w:t>
      </w:r>
      <w:r w:rsidRPr="004A5E53">
        <w:rPr>
          <w:rFonts w:ascii="Times New Roman" w:hAnsi="Times New Roman" w:cs="Times New Roman"/>
          <w:sz w:val="22"/>
          <w:szCs w:val="22"/>
        </w:rPr>
        <w:t xml:space="preserve">n determining whether payments to Legacy were deductible, </w:t>
      </w:r>
      <w:r>
        <w:rPr>
          <w:rFonts w:ascii="Times New Roman" w:hAnsi="Times New Roman" w:cs="Times New Roman"/>
          <w:sz w:val="22"/>
          <w:szCs w:val="22"/>
        </w:rPr>
        <w:t xml:space="preserve">the tax court stated in </w:t>
      </w:r>
      <w:r w:rsidRPr="009A64C1">
        <w:rPr>
          <w:rFonts w:ascii="Times New Roman" w:hAnsi="Times New Roman" w:cs="Times New Roman"/>
          <w:i/>
          <w:sz w:val="22"/>
          <w:szCs w:val="22"/>
        </w:rPr>
        <w:t>Rent-A-Center</w:t>
      </w:r>
      <w:r>
        <w:rPr>
          <w:rFonts w:ascii="Times New Roman" w:hAnsi="Times New Roman" w:cs="Times New Roman"/>
          <w:sz w:val="22"/>
          <w:szCs w:val="22"/>
        </w:rPr>
        <w:t xml:space="preserve"> that “Our</w:t>
      </w:r>
      <w:r w:rsidRPr="004A5E53">
        <w:rPr>
          <w:rFonts w:ascii="Times New Roman" w:hAnsi="Times New Roman" w:cs="Times New Roman"/>
          <w:sz w:val="22"/>
          <w:szCs w:val="22"/>
        </w:rPr>
        <w:t xml:space="preserve"> initial inquiry is whether Legacy was a bona fide insurance company</w:t>
      </w:r>
      <w:r>
        <w:rPr>
          <w:rFonts w:ascii="Times New Roman" w:hAnsi="Times New Roman" w:cs="Times New Roman"/>
          <w:sz w:val="22"/>
          <w:szCs w:val="22"/>
        </w:rPr>
        <w:t xml:space="preserve">.  </w:t>
      </w:r>
      <w:r w:rsidRPr="0076524D">
        <w:rPr>
          <w:rFonts w:ascii="Times New Roman" w:hAnsi="Times New Roman" w:cs="Times New Roman"/>
          <w:sz w:val="22"/>
          <w:szCs w:val="22"/>
        </w:rPr>
        <w:t>We respect the separate taxable treatment of a captive unless there is a finding of sham or lack of business purpose</w:t>
      </w:r>
      <w:r>
        <w:rPr>
          <w:rFonts w:ascii="Times New Roman" w:hAnsi="Times New Roman" w:cs="Times New Roman"/>
          <w:sz w:val="22"/>
          <w:szCs w:val="22"/>
        </w:rPr>
        <w:t xml:space="preserve">… </w:t>
      </w:r>
      <w:r w:rsidRPr="0076524D">
        <w:rPr>
          <w:rFonts w:ascii="Times New Roman" w:hAnsi="Times New Roman" w:cs="Times New Roman"/>
          <w:sz w:val="22"/>
          <w:szCs w:val="22"/>
        </w:rPr>
        <w:t>Respondent contends that Legacy was a sham entity created primarily to generate Federal income tax savings.</w:t>
      </w:r>
      <w:r>
        <w:rPr>
          <w:rFonts w:ascii="Times New Roman" w:hAnsi="Times New Roman" w:cs="Times New Roman"/>
          <w:sz w:val="22"/>
          <w:szCs w:val="22"/>
        </w:rPr>
        <w:t xml:space="preserve">”  </w:t>
      </w:r>
      <w:r w:rsidRPr="003D43A2">
        <w:rPr>
          <w:rFonts w:ascii="Times New Roman" w:hAnsi="Times New Roman" w:cs="Times New Roman"/>
          <w:i/>
          <w:sz w:val="22"/>
          <w:szCs w:val="22"/>
        </w:rPr>
        <w:t>Id</w:t>
      </w:r>
      <w:r>
        <w:rPr>
          <w:rFonts w:ascii="Times New Roman" w:hAnsi="Times New Roman" w:cs="Times New Roman"/>
          <w:sz w:val="22"/>
          <w:szCs w:val="22"/>
        </w:rPr>
        <w:t xml:space="preserve">. at 10-11.  The tax court considered each of the nine factors cited by the court in </w:t>
      </w:r>
      <w:r w:rsidRPr="004A2882">
        <w:rPr>
          <w:rFonts w:ascii="Times New Roman" w:hAnsi="Times New Roman" w:cs="Times New Roman"/>
          <w:i/>
          <w:sz w:val="22"/>
          <w:szCs w:val="22"/>
        </w:rPr>
        <w:t>Avrahami</w:t>
      </w:r>
      <w:r>
        <w:rPr>
          <w:rFonts w:ascii="Times New Roman" w:hAnsi="Times New Roman" w:cs="Times New Roman"/>
          <w:sz w:val="22"/>
          <w:szCs w:val="22"/>
        </w:rPr>
        <w:t xml:space="preserve"> and found that RAC </w:t>
      </w:r>
      <w:r w:rsidRPr="00E21DC0">
        <w:rPr>
          <w:rFonts w:ascii="Times New Roman" w:hAnsi="Times New Roman" w:cs="Times New Roman"/>
          <w:sz w:val="22"/>
          <w:szCs w:val="22"/>
        </w:rPr>
        <w:t>presented convincing, and essentially uncontradicted, evidence that Legacy was a bona fide insurance company.</w:t>
      </w:r>
      <w:r>
        <w:rPr>
          <w:rFonts w:ascii="Times New Roman" w:hAnsi="Times New Roman" w:cs="Times New Roman"/>
          <w:sz w:val="22"/>
          <w:szCs w:val="22"/>
        </w:rPr>
        <w:t xml:space="preserve">  </w:t>
      </w:r>
      <w:r w:rsidRPr="003D43A2">
        <w:rPr>
          <w:rFonts w:ascii="Times New Roman" w:hAnsi="Times New Roman" w:cs="Times New Roman"/>
          <w:i/>
          <w:sz w:val="22"/>
          <w:szCs w:val="22"/>
        </w:rPr>
        <w:t>Id</w:t>
      </w:r>
      <w:r>
        <w:rPr>
          <w:rFonts w:ascii="Times New Roman" w:hAnsi="Times New Roman" w:cs="Times New Roman"/>
          <w:sz w:val="22"/>
          <w:szCs w:val="22"/>
        </w:rPr>
        <w:t xml:space="preserve">. at 11-13.  </w:t>
      </w:r>
      <w:r w:rsidRPr="005B5E0D">
        <w:rPr>
          <w:rFonts w:ascii="Times New Roman" w:hAnsi="Times New Roman" w:cs="Times New Roman"/>
          <w:b/>
          <w:sz w:val="22"/>
          <w:szCs w:val="22"/>
        </w:rPr>
        <w:t xml:space="preserve">However, no pooling arrangement was present in </w:t>
      </w:r>
      <w:r w:rsidRPr="005B5E0D">
        <w:rPr>
          <w:rFonts w:ascii="Times New Roman" w:hAnsi="Times New Roman" w:cs="Times New Roman"/>
          <w:b/>
          <w:i/>
          <w:sz w:val="22"/>
          <w:szCs w:val="22"/>
        </w:rPr>
        <w:t>Rent-A-Center</w:t>
      </w:r>
      <w:r>
        <w:rPr>
          <w:rFonts w:ascii="Times New Roman" w:hAnsi="Times New Roman" w:cs="Times New Roman"/>
          <w:i/>
          <w:sz w:val="22"/>
          <w:szCs w:val="22"/>
        </w:rPr>
        <w:t xml:space="preserve">.  </w:t>
      </w:r>
      <w:r>
        <w:rPr>
          <w:rFonts w:ascii="Times New Roman" w:hAnsi="Times New Roman" w:cs="Times New Roman"/>
          <w:sz w:val="22"/>
          <w:szCs w:val="22"/>
        </w:rPr>
        <w:t xml:space="preserve">The “bona fide insurance company” test was only applied to the Legacy captive to determine whether Legacy was a sham or lacked a valid business purpose.  </w:t>
      </w:r>
      <w:r w:rsidRPr="00D06F1B">
        <w:rPr>
          <w:rFonts w:ascii="Times New Roman" w:hAnsi="Times New Roman" w:cs="Times New Roman"/>
          <w:i/>
          <w:sz w:val="22"/>
          <w:szCs w:val="22"/>
        </w:rPr>
        <w:t>Avrahami</w:t>
      </w:r>
      <w:r>
        <w:rPr>
          <w:rFonts w:ascii="Times New Roman" w:hAnsi="Times New Roman" w:cs="Times New Roman"/>
          <w:sz w:val="22"/>
          <w:szCs w:val="22"/>
        </w:rPr>
        <w:t xml:space="preserve"> erroneously extended this “bona fide” test to the insurer on reinsurance assumed from third parties, which was then copied by the Court in </w:t>
      </w:r>
      <w:r w:rsidRPr="00D06F1B">
        <w:rPr>
          <w:rFonts w:ascii="Times New Roman" w:hAnsi="Times New Roman" w:cs="Times New Roman"/>
          <w:i/>
          <w:sz w:val="22"/>
          <w:szCs w:val="22"/>
        </w:rPr>
        <w:t>Reserve</w:t>
      </w:r>
      <w:r w:rsidRPr="00C53E1D">
        <w:rPr>
          <w:rFonts w:ascii="Times New Roman" w:hAnsi="Times New Roman" w:cs="Times New Roman"/>
          <w:sz w:val="22"/>
          <w:szCs w:val="22"/>
        </w:rPr>
        <w:t xml:space="preserve">.  </w:t>
      </w:r>
    </w:p>
    <w:p w14:paraId="361F0144" w14:textId="77777777" w:rsidR="00434620" w:rsidRDefault="00434620" w:rsidP="00ED09F4">
      <w:pPr>
        <w:pStyle w:val="EndnoteText"/>
        <w:rPr>
          <w:rFonts w:ascii="Times New Roman" w:hAnsi="Times New Roman" w:cs="Times New Roman"/>
          <w:sz w:val="22"/>
          <w:szCs w:val="22"/>
        </w:rPr>
      </w:pPr>
    </w:p>
    <w:p w14:paraId="5E8066DE" w14:textId="77777777" w:rsidR="00434620" w:rsidRDefault="00434620" w:rsidP="00ED09F4">
      <w:pPr>
        <w:pStyle w:val="EndnoteText"/>
        <w:rPr>
          <w:rFonts w:ascii="Times New Roman" w:hAnsi="Times New Roman" w:cs="Times New Roman"/>
          <w:sz w:val="22"/>
          <w:szCs w:val="22"/>
        </w:rPr>
      </w:pPr>
      <w:r w:rsidRPr="00C53E1D">
        <w:rPr>
          <w:rFonts w:ascii="Times New Roman" w:hAnsi="Times New Roman" w:cs="Times New Roman"/>
          <w:sz w:val="22"/>
          <w:szCs w:val="22"/>
        </w:rPr>
        <w:t xml:space="preserve">Notably, the pooling or blending in </w:t>
      </w:r>
      <w:r w:rsidRPr="00C53E1D">
        <w:rPr>
          <w:rFonts w:ascii="Times New Roman" w:hAnsi="Times New Roman" w:cs="Times New Roman"/>
          <w:i/>
          <w:sz w:val="22"/>
          <w:szCs w:val="22"/>
        </w:rPr>
        <w:t>Rent-</w:t>
      </w:r>
      <w:r>
        <w:rPr>
          <w:rFonts w:ascii="Times New Roman" w:hAnsi="Times New Roman" w:cs="Times New Roman"/>
          <w:i/>
          <w:sz w:val="22"/>
          <w:szCs w:val="22"/>
        </w:rPr>
        <w:t>A</w:t>
      </w:r>
      <w:r w:rsidRPr="00C53E1D">
        <w:rPr>
          <w:rFonts w:ascii="Times New Roman" w:hAnsi="Times New Roman" w:cs="Times New Roman"/>
          <w:i/>
          <w:sz w:val="22"/>
          <w:szCs w:val="22"/>
        </w:rPr>
        <w:t>-Center</w:t>
      </w:r>
      <w:r w:rsidRPr="00C53E1D">
        <w:rPr>
          <w:rFonts w:ascii="Times New Roman" w:hAnsi="Times New Roman" w:cs="Times New Roman"/>
          <w:sz w:val="22"/>
          <w:szCs w:val="22"/>
        </w:rPr>
        <w:t xml:space="preserve"> was done by non-insurers directly purchasing policies through Legacy, without the benefit of the 6</w:t>
      </w:r>
      <w:r>
        <w:rPr>
          <w:rFonts w:ascii="Times New Roman" w:hAnsi="Times New Roman" w:cs="Times New Roman"/>
          <w:sz w:val="22"/>
          <w:szCs w:val="22"/>
        </w:rPr>
        <w:t>5</w:t>
      </w:r>
      <w:r w:rsidRPr="00C53E1D">
        <w:rPr>
          <w:rFonts w:ascii="Times New Roman" w:hAnsi="Times New Roman" w:cs="Times New Roman"/>
          <w:sz w:val="22"/>
          <w:szCs w:val="22"/>
        </w:rPr>
        <w:t>0</w:t>
      </w:r>
      <w:r>
        <w:rPr>
          <w:rFonts w:ascii="Times New Roman" w:hAnsi="Times New Roman" w:cs="Times New Roman"/>
          <w:sz w:val="22"/>
          <w:szCs w:val="22"/>
        </w:rPr>
        <w:t>+</w:t>
      </w:r>
      <w:r w:rsidRPr="00C53E1D">
        <w:rPr>
          <w:rFonts w:ascii="Times New Roman" w:hAnsi="Times New Roman" w:cs="Times New Roman"/>
          <w:sz w:val="22"/>
          <w:szCs w:val="22"/>
        </w:rPr>
        <w:t xml:space="preserve"> third-party policies seen in </w:t>
      </w:r>
      <w:r w:rsidRPr="00C53E1D">
        <w:rPr>
          <w:rFonts w:ascii="Times New Roman" w:hAnsi="Times New Roman" w:cs="Times New Roman"/>
          <w:i/>
          <w:sz w:val="22"/>
          <w:szCs w:val="22"/>
        </w:rPr>
        <w:t>Reserve</w:t>
      </w:r>
      <w:r w:rsidRPr="00C53E1D">
        <w:rPr>
          <w:rFonts w:ascii="Times New Roman" w:hAnsi="Times New Roman" w:cs="Times New Roman"/>
          <w:sz w:val="22"/>
          <w:szCs w:val="22"/>
        </w:rPr>
        <w:t xml:space="preserve"> insured by PoolRe. Simply put, the </w:t>
      </w:r>
      <w:r w:rsidRPr="00C53E1D">
        <w:rPr>
          <w:rFonts w:ascii="Times New Roman" w:hAnsi="Times New Roman" w:cs="Times New Roman"/>
          <w:i/>
          <w:sz w:val="22"/>
          <w:szCs w:val="22"/>
        </w:rPr>
        <w:t>Reserve</w:t>
      </w:r>
      <w:r w:rsidRPr="00C53E1D">
        <w:rPr>
          <w:rFonts w:ascii="Times New Roman" w:hAnsi="Times New Roman" w:cs="Times New Roman"/>
          <w:sz w:val="22"/>
          <w:szCs w:val="22"/>
        </w:rPr>
        <w:t xml:space="preserve"> Court conflated the “bona fide” insurance requirement imposed on Reserve with the chain of risks underwritten by it.  Of course, the risks of Reserve need not be generated from other insurance companies: Reserve was insuring Peak, which is not and need not be an insurer, as well as insuring the risks of unaffiliated companies through PoolRe, which need not be an insurer, but was in this case.</w:t>
      </w:r>
    </w:p>
    <w:p w14:paraId="7EF73254" w14:textId="77777777" w:rsidR="00434620" w:rsidRPr="00A02293" w:rsidRDefault="00434620" w:rsidP="00ED09F4">
      <w:pPr>
        <w:pStyle w:val="EndnoteText"/>
        <w:rPr>
          <w:rFonts w:ascii="Times New Roman" w:hAnsi="Times New Roman" w:cs="Times New Roman"/>
          <w:sz w:val="22"/>
          <w:szCs w:val="22"/>
        </w:rPr>
      </w:pPr>
    </w:p>
  </w:endnote>
  <w:endnote w:id="49">
    <w:p w14:paraId="6C52BEFE" w14:textId="7273BA96" w:rsidR="00434620" w:rsidRDefault="00434620">
      <w:pPr>
        <w:pStyle w:val="EndnoteText"/>
        <w:rPr>
          <w:rFonts w:ascii="Times New Roman" w:hAnsi="Times New Roman" w:cs="Times New Roman"/>
          <w:sz w:val="22"/>
          <w:szCs w:val="22"/>
        </w:rPr>
      </w:pPr>
      <w:r w:rsidRPr="0053243B">
        <w:rPr>
          <w:rStyle w:val="EndnoteReference"/>
          <w:rFonts w:ascii="Times New Roman" w:hAnsi="Times New Roman" w:cs="Times New Roman"/>
          <w:sz w:val="22"/>
          <w:szCs w:val="22"/>
        </w:rPr>
        <w:endnoteRef/>
      </w:r>
      <w:r w:rsidRPr="0053243B">
        <w:rPr>
          <w:rFonts w:ascii="Times New Roman" w:hAnsi="Times New Roman" w:cs="Times New Roman"/>
          <w:sz w:val="22"/>
          <w:szCs w:val="22"/>
        </w:rPr>
        <w:t xml:space="preserve"> </w:t>
      </w:r>
      <w:r w:rsidRPr="00517040">
        <w:rPr>
          <w:rFonts w:ascii="Times New Roman" w:hAnsi="Times New Roman" w:cs="Times New Roman"/>
          <w:i/>
          <w:sz w:val="22"/>
          <w:szCs w:val="22"/>
        </w:rPr>
        <w:t>See</w:t>
      </w:r>
      <w:r w:rsidRPr="0053243B">
        <w:rPr>
          <w:rFonts w:ascii="Times New Roman" w:hAnsi="Times New Roman" w:cs="Times New Roman"/>
          <w:sz w:val="22"/>
          <w:szCs w:val="22"/>
        </w:rPr>
        <w:t xml:space="preserve"> Rev. Rul. 2009-26, PLR 201219011 (May 11, 2012), and PLR 201224018 (Jun. 15, 2012).  These authorities are discussed in further </w:t>
      </w:r>
      <w:r w:rsidRPr="005425CD">
        <w:rPr>
          <w:rFonts w:ascii="Times New Roman" w:hAnsi="Times New Roman" w:cs="Times New Roman"/>
          <w:sz w:val="22"/>
          <w:szCs w:val="22"/>
        </w:rPr>
        <w:t>detail infra at Note 66.  Each of</w:t>
      </w:r>
      <w:r w:rsidRPr="0053243B">
        <w:rPr>
          <w:rFonts w:ascii="Times New Roman" w:hAnsi="Times New Roman" w:cs="Times New Roman"/>
          <w:sz w:val="22"/>
          <w:szCs w:val="22"/>
        </w:rPr>
        <w:t xml:space="preserve"> these IRS rulings clearly recognize that risk distribution is analyzed by </w:t>
      </w:r>
      <w:r>
        <w:rPr>
          <w:rFonts w:ascii="Times New Roman" w:hAnsi="Times New Roman" w:cs="Times New Roman"/>
          <w:sz w:val="22"/>
          <w:szCs w:val="22"/>
        </w:rPr>
        <w:t>“</w:t>
      </w:r>
      <w:r w:rsidRPr="0053243B">
        <w:rPr>
          <w:rFonts w:ascii="Times New Roman" w:hAnsi="Times New Roman" w:cs="Times New Roman"/>
          <w:sz w:val="22"/>
          <w:szCs w:val="22"/>
        </w:rPr>
        <w:t>looking through</w:t>
      </w:r>
      <w:r>
        <w:rPr>
          <w:rFonts w:ascii="Times New Roman" w:hAnsi="Times New Roman" w:cs="Times New Roman"/>
          <w:sz w:val="22"/>
          <w:szCs w:val="22"/>
        </w:rPr>
        <w:t>”</w:t>
      </w:r>
      <w:r w:rsidRPr="0053243B">
        <w:rPr>
          <w:rFonts w:ascii="Times New Roman" w:hAnsi="Times New Roman" w:cs="Times New Roman"/>
          <w:sz w:val="22"/>
          <w:szCs w:val="22"/>
        </w:rPr>
        <w:t xml:space="preserve"> to the underlying risks that are reinsured, which may be assumed under a contractual arrangement, and none of these rulings impose a requirement that risk distribution flow only through “bona fide licensed insurance companies.”  In both PLRs, the IRS explicitly approved the use of quota share pooling arrangements to blend risks and did not require a reinsurance pool to be recognized as an entity or a “bona fide insurance company” to achieve risk distribution for federal income tax purposes</w:t>
      </w:r>
      <w:r>
        <w:rPr>
          <w:rFonts w:ascii="Times New Roman" w:hAnsi="Times New Roman" w:cs="Times New Roman"/>
          <w:sz w:val="22"/>
          <w:szCs w:val="22"/>
        </w:rPr>
        <w:t>.</w:t>
      </w:r>
    </w:p>
    <w:p w14:paraId="3D76077E" w14:textId="77777777" w:rsidR="00434620" w:rsidRPr="0053243B" w:rsidRDefault="00434620">
      <w:pPr>
        <w:pStyle w:val="EndnoteText"/>
        <w:rPr>
          <w:rFonts w:ascii="Times New Roman" w:hAnsi="Times New Roman" w:cs="Times New Roman"/>
          <w:sz w:val="22"/>
          <w:szCs w:val="22"/>
        </w:rPr>
      </w:pPr>
    </w:p>
  </w:endnote>
  <w:endnote w:id="50">
    <w:p w14:paraId="740A31EE" w14:textId="682CC2D2" w:rsidR="00434620" w:rsidRDefault="00434620">
      <w:pPr>
        <w:pStyle w:val="EndnoteText"/>
        <w:rPr>
          <w:rFonts w:ascii="Times New Roman" w:hAnsi="Times New Roman" w:cs="Times New Roman"/>
          <w:sz w:val="22"/>
          <w:szCs w:val="22"/>
        </w:rPr>
      </w:pPr>
      <w:r>
        <w:rPr>
          <w:rStyle w:val="EndnoteReference"/>
        </w:rPr>
        <w:endnoteRef/>
      </w:r>
      <w:r>
        <w:t xml:space="preserve"> </w:t>
      </w:r>
      <w:r w:rsidRPr="00517040">
        <w:rPr>
          <w:rFonts w:ascii="Times New Roman" w:hAnsi="Times New Roman" w:cs="Times New Roman"/>
          <w:i/>
          <w:sz w:val="22"/>
          <w:szCs w:val="22"/>
        </w:rPr>
        <w:t>See</w:t>
      </w:r>
      <w:r>
        <w:rPr>
          <w:rFonts w:ascii="Times New Roman" w:hAnsi="Times New Roman" w:cs="Times New Roman"/>
          <w:sz w:val="22"/>
          <w:szCs w:val="22"/>
        </w:rPr>
        <w:t xml:space="preserve"> </w:t>
      </w:r>
      <w:r w:rsidRPr="005C1DEA">
        <w:rPr>
          <w:rFonts w:ascii="Times New Roman" w:hAnsi="Times New Roman" w:cs="Times New Roman"/>
          <w:sz w:val="22"/>
          <w:szCs w:val="22"/>
        </w:rPr>
        <w:t>Exhibit 104-P (Expert Report of Dr. Neil Doherty, March 27, 2017)</w:t>
      </w:r>
      <w:r>
        <w:rPr>
          <w:rFonts w:ascii="Times New Roman" w:hAnsi="Times New Roman" w:cs="Times New Roman"/>
          <w:sz w:val="22"/>
          <w:szCs w:val="22"/>
        </w:rPr>
        <w:t>.  Dr. Doherty opined at page 18, Section 2d (entitled “Insurable Risks”) as follows: “</w:t>
      </w:r>
      <w:r w:rsidRPr="00711BED">
        <w:rPr>
          <w:rFonts w:ascii="Times New Roman" w:hAnsi="Times New Roman" w:cs="Times New Roman"/>
          <w:sz w:val="22"/>
          <w:szCs w:val="22"/>
        </w:rPr>
        <w:t>With respect to the types of coverages, insurance typically covers loss to the policyholder from</w:t>
      </w:r>
      <w:r>
        <w:rPr>
          <w:rFonts w:ascii="Times New Roman" w:hAnsi="Times New Roman" w:cs="Times New Roman"/>
          <w:sz w:val="22"/>
          <w:szCs w:val="22"/>
        </w:rPr>
        <w:t xml:space="preserve"> </w:t>
      </w:r>
      <w:r w:rsidRPr="00711BED">
        <w:rPr>
          <w:rFonts w:ascii="Times New Roman" w:hAnsi="Times New Roman" w:cs="Times New Roman"/>
          <w:sz w:val="22"/>
          <w:szCs w:val="22"/>
        </w:rPr>
        <w:t>fortuitous events. These include common perils such as weather and fire damage, liability claims,</w:t>
      </w:r>
      <w:r>
        <w:rPr>
          <w:rFonts w:ascii="Times New Roman" w:hAnsi="Times New Roman" w:cs="Times New Roman"/>
          <w:sz w:val="22"/>
          <w:szCs w:val="22"/>
        </w:rPr>
        <w:t xml:space="preserve"> </w:t>
      </w:r>
      <w:r w:rsidRPr="00711BED">
        <w:rPr>
          <w:rFonts w:ascii="Times New Roman" w:hAnsi="Times New Roman" w:cs="Times New Roman"/>
          <w:sz w:val="22"/>
          <w:szCs w:val="22"/>
        </w:rPr>
        <w:t>and</w:t>
      </w:r>
      <w:r>
        <w:rPr>
          <w:rFonts w:ascii="Times New Roman" w:hAnsi="Times New Roman" w:cs="Times New Roman"/>
          <w:sz w:val="22"/>
          <w:szCs w:val="22"/>
        </w:rPr>
        <w:t xml:space="preserve"> </w:t>
      </w:r>
      <w:r w:rsidRPr="00711BED">
        <w:rPr>
          <w:rFonts w:ascii="Times New Roman" w:hAnsi="Times New Roman" w:cs="Times New Roman"/>
          <w:sz w:val="22"/>
          <w:szCs w:val="22"/>
        </w:rPr>
        <w:t xml:space="preserve">more specialized risks such as loss of intellectual property, product recall and the like. </w:t>
      </w:r>
      <w:r w:rsidRPr="00AC63B7">
        <w:rPr>
          <w:rFonts w:ascii="Times New Roman" w:hAnsi="Times New Roman" w:cs="Times New Roman"/>
          <w:sz w:val="22"/>
          <w:szCs w:val="22"/>
          <w:u w:val="single"/>
        </w:rPr>
        <w:t xml:space="preserve">The policies in place for the various Capstone members </w:t>
      </w:r>
      <w:r>
        <w:rPr>
          <w:rFonts w:ascii="Times New Roman" w:hAnsi="Times New Roman" w:cs="Times New Roman"/>
          <w:sz w:val="22"/>
          <w:szCs w:val="22"/>
          <w:u w:val="single"/>
        </w:rPr>
        <w:t xml:space="preserve">[each of which are insured by affiliated captive participants in the PoolRe pooling arrangement] </w:t>
      </w:r>
      <w:r w:rsidRPr="00AC63B7">
        <w:rPr>
          <w:rFonts w:ascii="Times New Roman" w:hAnsi="Times New Roman" w:cs="Times New Roman"/>
          <w:sz w:val="22"/>
          <w:szCs w:val="22"/>
          <w:u w:val="single"/>
        </w:rPr>
        <w:t>include a mixture of typical and specialized risk exposures. Policies of these types are routinely offered by the insurance industry</w:t>
      </w:r>
      <w:r w:rsidRPr="00711BED">
        <w:rPr>
          <w:rFonts w:ascii="Times New Roman" w:hAnsi="Times New Roman" w:cs="Times New Roman"/>
          <w:sz w:val="22"/>
          <w:szCs w:val="22"/>
        </w:rPr>
        <w:t>.</w:t>
      </w:r>
      <w:r>
        <w:rPr>
          <w:rFonts w:ascii="Times New Roman" w:hAnsi="Times New Roman" w:cs="Times New Roman"/>
          <w:sz w:val="22"/>
          <w:szCs w:val="22"/>
        </w:rPr>
        <w:t>” (emphasis added)</w:t>
      </w:r>
    </w:p>
    <w:p w14:paraId="462A6A67" w14:textId="77777777" w:rsidR="00434620" w:rsidRDefault="00434620">
      <w:pPr>
        <w:pStyle w:val="EndnoteText"/>
      </w:pPr>
    </w:p>
  </w:endnote>
  <w:endnote w:id="51">
    <w:p w14:paraId="6440BD78" w14:textId="77777777" w:rsidR="00434620" w:rsidRDefault="00434620" w:rsidP="004D2248">
      <w:pPr>
        <w:pStyle w:val="EndnoteText"/>
        <w:rPr>
          <w:rFonts w:ascii="Times New Roman" w:hAnsi="Times New Roman" w:cs="Times New Roman"/>
          <w:sz w:val="22"/>
          <w:szCs w:val="22"/>
        </w:rPr>
      </w:pPr>
      <w:r w:rsidRPr="002329D4">
        <w:rPr>
          <w:rStyle w:val="EndnoteReference"/>
          <w:rFonts w:ascii="Times New Roman" w:hAnsi="Times New Roman" w:cs="Times New Roman"/>
          <w:sz w:val="22"/>
          <w:szCs w:val="22"/>
        </w:rPr>
        <w:endnoteRef/>
      </w:r>
      <w:r w:rsidRPr="002329D4">
        <w:rPr>
          <w:rFonts w:ascii="Times New Roman" w:hAnsi="Times New Roman" w:cs="Times New Roman"/>
          <w:sz w:val="22"/>
          <w:szCs w:val="22"/>
        </w:rPr>
        <w:t xml:space="preserve"> </w:t>
      </w:r>
      <w:r>
        <w:rPr>
          <w:rFonts w:ascii="Times New Roman" w:hAnsi="Times New Roman" w:cs="Times New Roman"/>
          <w:sz w:val="22"/>
          <w:szCs w:val="22"/>
        </w:rPr>
        <w:t>I</w:t>
      </w:r>
      <w:r w:rsidRPr="002C7CDC">
        <w:rPr>
          <w:rFonts w:ascii="Times New Roman" w:hAnsi="Times New Roman" w:cs="Times New Roman"/>
          <w:sz w:val="22"/>
          <w:szCs w:val="22"/>
        </w:rPr>
        <w:t>n determining whether an arrangement is insurance for federal income tax purposes</w:t>
      </w:r>
      <w:r>
        <w:rPr>
          <w:rFonts w:ascii="Times New Roman" w:hAnsi="Times New Roman" w:cs="Times New Roman"/>
          <w:sz w:val="22"/>
          <w:szCs w:val="22"/>
        </w:rPr>
        <w:t>, courts</w:t>
      </w:r>
      <w:r w:rsidRPr="008373E6">
        <w:rPr>
          <w:rFonts w:ascii="Times New Roman" w:hAnsi="Times New Roman" w:cs="Times New Roman"/>
          <w:sz w:val="22"/>
          <w:szCs w:val="22"/>
        </w:rPr>
        <w:t xml:space="preserve"> appl</w:t>
      </w:r>
      <w:r>
        <w:rPr>
          <w:rFonts w:ascii="Times New Roman" w:hAnsi="Times New Roman" w:cs="Times New Roman"/>
          <w:sz w:val="22"/>
          <w:szCs w:val="22"/>
        </w:rPr>
        <w:t>y</w:t>
      </w:r>
      <w:r w:rsidRPr="008373E6">
        <w:rPr>
          <w:rFonts w:ascii="Times New Roman" w:hAnsi="Times New Roman" w:cs="Times New Roman"/>
          <w:sz w:val="22"/>
          <w:szCs w:val="22"/>
        </w:rPr>
        <w:t xml:space="preserve"> the Supreme</w:t>
      </w:r>
      <w:r>
        <w:rPr>
          <w:rFonts w:ascii="Times New Roman" w:hAnsi="Times New Roman" w:cs="Times New Roman"/>
          <w:sz w:val="22"/>
          <w:szCs w:val="22"/>
        </w:rPr>
        <w:t xml:space="preserve"> </w:t>
      </w:r>
      <w:r w:rsidRPr="008373E6">
        <w:rPr>
          <w:rFonts w:ascii="Times New Roman" w:hAnsi="Times New Roman" w:cs="Times New Roman"/>
          <w:sz w:val="22"/>
          <w:szCs w:val="22"/>
        </w:rPr>
        <w:t xml:space="preserve">Court’s definition of insurance in </w:t>
      </w:r>
      <w:r w:rsidRPr="00EF112B">
        <w:rPr>
          <w:rFonts w:ascii="Times New Roman" w:hAnsi="Times New Roman" w:cs="Times New Roman"/>
          <w:i/>
          <w:sz w:val="22"/>
          <w:szCs w:val="22"/>
        </w:rPr>
        <w:t>Helvering v. Le Gierse</w:t>
      </w:r>
      <w:r w:rsidRPr="00EF112B">
        <w:rPr>
          <w:rFonts w:ascii="Times New Roman" w:hAnsi="Times New Roman" w:cs="Times New Roman"/>
          <w:sz w:val="22"/>
          <w:szCs w:val="22"/>
        </w:rPr>
        <w:t>, 312 U.S. 531, 539 (1941)</w:t>
      </w:r>
      <w:r>
        <w:rPr>
          <w:rFonts w:ascii="Times New Roman" w:hAnsi="Times New Roman" w:cs="Times New Roman"/>
          <w:sz w:val="22"/>
          <w:szCs w:val="22"/>
        </w:rPr>
        <w:t xml:space="preserve"> </w:t>
      </w:r>
      <w:r w:rsidRPr="008373E6">
        <w:rPr>
          <w:rFonts w:ascii="Times New Roman" w:hAnsi="Times New Roman" w:cs="Times New Roman"/>
          <w:sz w:val="22"/>
          <w:szCs w:val="22"/>
        </w:rPr>
        <w:t>and its four nonexclusive criteria. To</w:t>
      </w:r>
      <w:r>
        <w:rPr>
          <w:rFonts w:ascii="Times New Roman" w:hAnsi="Times New Roman" w:cs="Times New Roman"/>
          <w:sz w:val="22"/>
          <w:szCs w:val="22"/>
        </w:rPr>
        <w:t xml:space="preserve"> </w:t>
      </w:r>
      <w:r w:rsidRPr="008373E6">
        <w:rPr>
          <w:rFonts w:ascii="Times New Roman" w:hAnsi="Times New Roman" w:cs="Times New Roman"/>
          <w:sz w:val="22"/>
          <w:szCs w:val="22"/>
        </w:rPr>
        <w:t>be considered insurance</w:t>
      </w:r>
      <w:r>
        <w:rPr>
          <w:rFonts w:ascii="Times New Roman" w:hAnsi="Times New Roman" w:cs="Times New Roman"/>
          <w:sz w:val="22"/>
          <w:szCs w:val="22"/>
        </w:rPr>
        <w:t xml:space="preserve">, </w:t>
      </w:r>
      <w:r w:rsidRPr="008373E6">
        <w:rPr>
          <w:rFonts w:ascii="Times New Roman" w:hAnsi="Times New Roman" w:cs="Times New Roman"/>
          <w:sz w:val="22"/>
          <w:szCs w:val="22"/>
        </w:rPr>
        <w:t>the arrangement must</w:t>
      </w:r>
      <w:r>
        <w:rPr>
          <w:rFonts w:ascii="Times New Roman" w:hAnsi="Times New Roman" w:cs="Times New Roman"/>
          <w:sz w:val="22"/>
          <w:szCs w:val="22"/>
        </w:rPr>
        <w:t xml:space="preserve">: (1) </w:t>
      </w:r>
      <w:r w:rsidRPr="008373E6">
        <w:rPr>
          <w:rFonts w:ascii="Times New Roman" w:hAnsi="Times New Roman" w:cs="Times New Roman"/>
          <w:sz w:val="22"/>
          <w:szCs w:val="22"/>
        </w:rPr>
        <w:t>involve risk-shifting;</w:t>
      </w:r>
      <w:r>
        <w:rPr>
          <w:rFonts w:ascii="Times New Roman" w:hAnsi="Times New Roman" w:cs="Times New Roman"/>
          <w:sz w:val="22"/>
          <w:szCs w:val="22"/>
        </w:rPr>
        <w:t xml:space="preserve"> (2) </w:t>
      </w:r>
      <w:r w:rsidRPr="008373E6">
        <w:rPr>
          <w:rFonts w:ascii="Times New Roman" w:hAnsi="Times New Roman" w:cs="Times New Roman"/>
          <w:sz w:val="22"/>
          <w:szCs w:val="22"/>
        </w:rPr>
        <w:t>involve risk-distribution;</w:t>
      </w:r>
      <w:r>
        <w:rPr>
          <w:rFonts w:ascii="Times New Roman" w:hAnsi="Times New Roman" w:cs="Times New Roman"/>
          <w:sz w:val="22"/>
          <w:szCs w:val="22"/>
        </w:rPr>
        <w:t xml:space="preserve"> (3) </w:t>
      </w:r>
      <w:r w:rsidRPr="008373E6">
        <w:rPr>
          <w:rFonts w:ascii="Times New Roman" w:hAnsi="Times New Roman" w:cs="Times New Roman"/>
          <w:sz w:val="22"/>
          <w:szCs w:val="22"/>
        </w:rPr>
        <w:t>involve insurance risk; and</w:t>
      </w:r>
      <w:r>
        <w:rPr>
          <w:rFonts w:ascii="Times New Roman" w:hAnsi="Times New Roman" w:cs="Times New Roman"/>
          <w:sz w:val="22"/>
          <w:szCs w:val="22"/>
        </w:rPr>
        <w:t xml:space="preserve"> (4) </w:t>
      </w:r>
      <w:r w:rsidRPr="008373E6">
        <w:rPr>
          <w:rFonts w:ascii="Times New Roman" w:hAnsi="Times New Roman" w:cs="Times New Roman"/>
          <w:sz w:val="22"/>
          <w:szCs w:val="22"/>
        </w:rPr>
        <w:t>meet commonly accepted notions of insurance</w:t>
      </w:r>
      <w:r>
        <w:rPr>
          <w:rFonts w:ascii="Times New Roman" w:hAnsi="Times New Roman" w:cs="Times New Roman"/>
          <w:sz w:val="22"/>
          <w:szCs w:val="22"/>
        </w:rPr>
        <w:t xml:space="preserve">.  </w:t>
      </w:r>
      <w:r w:rsidRPr="00517040">
        <w:rPr>
          <w:rFonts w:ascii="Times New Roman" w:hAnsi="Times New Roman" w:cs="Times New Roman"/>
          <w:i/>
          <w:sz w:val="22"/>
          <w:szCs w:val="22"/>
        </w:rPr>
        <w:t>See</w:t>
      </w:r>
      <w:r w:rsidRPr="00190CDD">
        <w:rPr>
          <w:rFonts w:ascii="Times New Roman" w:hAnsi="Times New Roman" w:cs="Times New Roman"/>
          <w:sz w:val="22"/>
          <w:szCs w:val="22"/>
        </w:rPr>
        <w:t xml:space="preserve"> </w:t>
      </w:r>
      <w:r w:rsidRPr="00190CDD">
        <w:rPr>
          <w:rFonts w:ascii="Times New Roman" w:hAnsi="Times New Roman" w:cs="Times New Roman"/>
          <w:i/>
          <w:sz w:val="22"/>
          <w:szCs w:val="22"/>
        </w:rPr>
        <w:t>Rent-A-Center, Inc. v. Commissioner</w:t>
      </w:r>
      <w:r w:rsidRPr="00190CDD">
        <w:rPr>
          <w:rFonts w:ascii="Times New Roman" w:hAnsi="Times New Roman" w:cs="Times New Roman"/>
          <w:sz w:val="22"/>
          <w:szCs w:val="22"/>
        </w:rPr>
        <w:t xml:space="preserve">, 142 T.C. 1, 13 (2014); see also </w:t>
      </w:r>
      <w:r w:rsidRPr="00190CDD">
        <w:rPr>
          <w:rFonts w:ascii="Times New Roman" w:hAnsi="Times New Roman" w:cs="Times New Roman"/>
          <w:i/>
          <w:sz w:val="22"/>
          <w:szCs w:val="22"/>
        </w:rPr>
        <w:t>R.V.I. Guar. Co. v. Commissioner</w:t>
      </w:r>
      <w:r w:rsidRPr="00190CDD">
        <w:rPr>
          <w:rFonts w:ascii="Times New Roman" w:hAnsi="Times New Roman" w:cs="Times New Roman"/>
          <w:sz w:val="22"/>
          <w:szCs w:val="22"/>
        </w:rPr>
        <w:t xml:space="preserve">, 145 T.C. 209, 225 (2015); </w:t>
      </w:r>
      <w:r w:rsidRPr="00991926">
        <w:rPr>
          <w:rFonts w:ascii="Times New Roman" w:hAnsi="Times New Roman" w:cs="Times New Roman"/>
          <w:i/>
          <w:sz w:val="22"/>
          <w:szCs w:val="22"/>
        </w:rPr>
        <w:t>Harper Grp. v. Commissioner</w:t>
      </w:r>
      <w:r w:rsidRPr="00190CDD">
        <w:rPr>
          <w:rFonts w:ascii="Times New Roman" w:hAnsi="Times New Roman" w:cs="Times New Roman"/>
          <w:sz w:val="22"/>
          <w:szCs w:val="22"/>
        </w:rPr>
        <w:t xml:space="preserve">, 96 T.C. </w:t>
      </w:r>
      <w:r>
        <w:rPr>
          <w:rFonts w:ascii="Times New Roman" w:hAnsi="Times New Roman" w:cs="Times New Roman"/>
          <w:sz w:val="22"/>
          <w:szCs w:val="22"/>
        </w:rPr>
        <w:t xml:space="preserve">45, </w:t>
      </w:r>
      <w:r w:rsidRPr="00190CDD">
        <w:rPr>
          <w:rFonts w:ascii="Times New Roman" w:hAnsi="Times New Roman" w:cs="Times New Roman"/>
          <w:sz w:val="22"/>
          <w:szCs w:val="22"/>
        </w:rPr>
        <w:t>58;</w:t>
      </w:r>
      <w:r>
        <w:rPr>
          <w:rFonts w:ascii="Times New Roman" w:hAnsi="Times New Roman" w:cs="Times New Roman"/>
          <w:sz w:val="22"/>
          <w:szCs w:val="22"/>
        </w:rPr>
        <w:t xml:space="preserve"> </w:t>
      </w:r>
      <w:r w:rsidRPr="00991926">
        <w:rPr>
          <w:rFonts w:ascii="Times New Roman" w:hAnsi="Times New Roman" w:cs="Times New Roman"/>
          <w:i/>
          <w:sz w:val="22"/>
          <w:szCs w:val="22"/>
        </w:rPr>
        <w:t>AMERCO &amp; Subs. v. Commissioner</w:t>
      </w:r>
      <w:r w:rsidRPr="00190CDD">
        <w:rPr>
          <w:rFonts w:ascii="Times New Roman" w:hAnsi="Times New Roman" w:cs="Times New Roman"/>
          <w:sz w:val="22"/>
          <w:szCs w:val="22"/>
        </w:rPr>
        <w:t>, 96 T.C. 18, 38 (1991), aff’d, 979 F.2d 162</w:t>
      </w:r>
      <w:r>
        <w:rPr>
          <w:rFonts w:ascii="Times New Roman" w:hAnsi="Times New Roman" w:cs="Times New Roman"/>
          <w:sz w:val="22"/>
          <w:szCs w:val="22"/>
        </w:rPr>
        <w:t xml:space="preserve"> </w:t>
      </w:r>
      <w:r w:rsidRPr="00190CDD">
        <w:rPr>
          <w:rFonts w:ascii="Times New Roman" w:hAnsi="Times New Roman" w:cs="Times New Roman"/>
          <w:sz w:val="22"/>
          <w:szCs w:val="22"/>
        </w:rPr>
        <w:t xml:space="preserve">(9th Cir. 1992); </w:t>
      </w:r>
      <w:r w:rsidRPr="00434110">
        <w:rPr>
          <w:rFonts w:ascii="Times New Roman" w:hAnsi="Times New Roman" w:cs="Times New Roman"/>
          <w:i/>
          <w:sz w:val="22"/>
          <w:szCs w:val="22"/>
        </w:rPr>
        <w:t>Securitas Holdings, Inc. v. Commissioner</w:t>
      </w:r>
      <w:r w:rsidRPr="004D2248">
        <w:rPr>
          <w:rFonts w:ascii="Times New Roman" w:hAnsi="Times New Roman" w:cs="Times New Roman"/>
          <w:sz w:val="22"/>
          <w:szCs w:val="22"/>
        </w:rPr>
        <w:t>,</w:t>
      </w:r>
      <w:r>
        <w:rPr>
          <w:rFonts w:ascii="Times New Roman" w:hAnsi="Times New Roman" w:cs="Times New Roman"/>
          <w:sz w:val="22"/>
          <w:szCs w:val="22"/>
        </w:rPr>
        <w:t xml:space="preserve"> </w:t>
      </w:r>
      <w:r w:rsidRPr="004D2248">
        <w:rPr>
          <w:rFonts w:ascii="Times New Roman" w:hAnsi="Times New Roman" w:cs="Times New Roman"/>
          <w:sz w:val="22"/>
          <w:szCs w:val="22"/>
        </w:rPr>
        <w:t>T.C. Memo. 2014-225</w:t>
      </w:r>
      <w:r>
        <w:rPr>
          <w:rFonts w:ascii="Times New Roman" w:hAnsi="Times New Roman" w:cs="Times New Roman"/>
          <w:sz w:val="22"/>
          <w:szCs w:val="22"/>
        </w:rPr>
        <w:t xml:space="preserve"> </w:t>
      </w:r>
      <w:r w:rsidRPr="00190CDD">
        <w:rPr>
          <w:rFonts w:ascii="Times New Roman" w:hAnsi="Times New Roman" w:cs="Times New Roman"/>
          <w:sz w:val="22"/>
          <w:szCs w:val="22"/>
        </w:rPr>
        <w:t>at 18.</w:t>
      </w:r>
    </w:p>
    <w:p w14:paraId="22B18C72" w14:textId="77777777" w:rsidR="00434620" w:rsidRPr="00E17141" w:rsidRDefault="00434620">
      <w:pPr>
        <w:pStyle w:val="EndnoteText"/>
        <w:rPr>
          <w:rFonts w:ascii="Times New Roman" w:hAnsi="Times New Roman" w:cs="Times New Roman"/>
          <w:sz w:val="22"/>
          <w:szCs w:val="22"/>
        </w:rPr>
      </w:pPr>
    </w:p>
  </w:endnote>
  <w:endnote w:id="52">
    <w:p w14:paraId="1065C1D1" w14:textId="511A7A9F" w:rsidR="00434620" w:rsidRPr="00E17141" w:rsidRDefault="00434620" w:rsidP="00CC5202">
      <w:pPr>
        <w:pStyle w:val="EndnoteText"/>
        <w:rPr>
          <w:rFonts w:ascii="Times New Roman" w:hAnsi="Times New Roman" w:cs="Times New Roman"/>
          <w:sz w:val="22"/>
          <w:szCs w:val="22"/>
        </w:rPr>
      </w:pPr>
      <w:r w:rsidRPr="00E17141">
        <w:rPr>
          <w:rStyle w:val="EndnoteReference"/>
          <w:rFonts w:ascii="Times New Roman" w:hAnsi="Times New Roman" w:cs="Times New Roman"/>
          <w:sz w:val="22"/>
          <w:szCs w:val="22"/>
        </w:rPr>
        <w:endnoteRef/>
      </w:r>
      <w:r w:rsidRPr="00E17141">
        <w:rPr>
          <w:rFonts w:ascii="Times New Roman" w:hAnsi="Times New Roman" w:cs="Times New Roman"/>
          <w:sz w:val="22"/>
          <w:szCs w:val="22"/>
        </w:rPr>
        <w:t xml:space="preserve"> </w:t>
      </w:r>
      <w:r w:rsidRPr="00517040">
        <w:rPr>
          <w:rFonts w:ascii="Times New Roman" w:hAnsi="Times New Roman" w:cs="Times New Roman"/>
          <w:i/>
          <w:sz w:val="22"/>
          <w:szCs w:val="22"/>
        </w:rPr>
        <w:t>See</w:t>
      </w:r>
      <w:r w:rsidRPr="00F03603">
        <w:rPr>
          <w:rFonts w:ascii="Times New Roman" w:hAnsi="Times New Roman" w:cs="Times New Roman"/>
          <w:sz w:val="22"/>
          <w:szCs w:val="22"/>
        </w:rPr>
        <w:t xml:space="preserve"> testimony of Stewart Feldman</w:t>
      </w:r>
      <w:r>
        <w:rPr>
          <w:rFonts w:ascii="Times New Roman" w:hAnsi="Times New Roman" w:cs="Times New Roman"/>
          <w:sz w:val="22"/>
          <w:szCs w:val="22"/>
        </w:rPr>
        <w:t>, Tr.</w:t>
      </w:r>
      <w:r w:rsidRPr="00F03603">
        <w:rPr>
          <w:rFonts w:ascii="Times New Roman" w:hAnsi="Times New Roman" w:cs="Times New Roman"/>
          <w:sz w:val="22"/>
          <w:szCs w:val="22"/>
        </w:rPr>
        <w:t xml:space="preserve"> at 7</w:t>
      </w:r>
      <w:r>
        <w:rPr>
          <w:rFonts w:ascii="Times New Roman" w:hAnsi="Times New Roman" w:cs="Times New Roman"/>
          <w:sz w:val="22"/>
          <w:szCs w:val="22"/>
        </w:rPr>
        <w:t>5</w:t>
      </w:r>
      <w:r w:rsidRPr="00F03603">
        <w:rPr>
          <w:rFonts w:ascii="Times New Roman" w:hAnsi="Times New Roman" w:cs="Times New Roman"/>
          <w:sz w:val="22"/>
          <w:szCs w:val="22"/>
        </w:rPr>
        <w:t>3-7</w:t>
      </w:r>
      <w:r>
        <w:rPr>
          <w:rFonts w:ascii="Times New Roman" w:hAnsi="Times New Roman" w:cs="Times New Roman"/>
          <w:sz w:val="22"/>
          <w:szCs w:val="22"/>
        </w:rPr>
        <w:t>5</w:t>
      </w:r>
      <w:r w:rsidRPr="00F03603">
        <w:rPr>
          <w:rFonts w:ascii="Times New Roman" w:hAnsi="Times New Roman" w:cs="Times New Roman"/>
          <w:sz w:val="22"/>
          <w:szCs w:val="22"/>
        </w:rPr>
        <w:t>4</w:t>
      </w:r>
      <w:r>
        <w:rPr>
          <w:rFonts w:ascii="Times New Roman" w:hAnsi="Times New Roman" w:cs="Times New Roman"/>
          <w:sz w:val="22"/>
          <w:szCs w:val="22"/>
        </w:rPr>
        <w:t xml:space="preserve"> and Exhibit 134-P (Pool Structure 2008-2010), which was used as a demonstrative exhibit by </w:t>
      </w:r>
      <w:r w:rsidRPr="00CC5202">
        <w:rPr>
          <w:rFonts w:ascii="Times New Roman" w:hAnsi="Times New Roman" w:cs="Times New Roman"/>
          <w:sz w:val="22"/>
          <w:szCs w:val="22"/>
        </w:rPr>
        <w:t>Mr. Feldman to</w:t>
      </w:r>
      <w:r>
        <w:rPr>
          <w:rFonts w:ascii="Times New Roman" w:hAnsi="Times New Roman" w:cs="Times New Roman"/>
          <w:sz w:val="22"/>
          <w:szCs w:val="22"/>
        </w:rPr>
        <w:t xml:space="preserve"> </w:t>
      </w:r>
      <w:r w:rsidRPr="00CC5202">
        <w:rPr>
          <w:rFonts w:ascii="Times New Roman" w:hAnsi="Times New Roman" w:cs="Times New Roman"/>
          <w:sz w:val="22"/>
          <w:szCs w:val="22"/>
        </w:rPr>
        <w:t>explain the structure of the insurance arrangements</w:t>
      </w:r>
      <w:r>
        <w:rPr>
          <w:rFonts w:ascii="Times New Roman" w:hAnsi="Times New Roman" w:cs="Times New Roman"/>
          <w:sz w:val="22"/>
          <w:szCs w:val="22"/>
        </w:rPr>
        <w:t xml:space="preserve"> between PoolRe and all of the parties that entered into insurance transactions with PoolRe (including the Peak insureds and Reserve).  Mr. Feldman testified that “</w:t>
      </w:r>
      <w:r w:rsidRPr="009F0DBA">
        <w:rPr>
          <w:rFonts w:ascii="Times New Roman" w:hAnsi="Times New Roman" w:cs="Times New Roman"/>
          <w:sz w:val="22"/>
          <w:szCs w:val="22"/>
        </w:rPr>
        <w:t>every policy that</w:t>
      </w:r>
      <w:r>
        <w:rPr>
          <w:rFonts w:ascii="Times New Roman" w:hAnsi="Times New Roman" w:cs="Times New Roman"/>
          <w:sz w:val="22"/>
          <w:szCs w:val="22"/>
        </w:rPr>
        <w:t>’</w:t>
      </w:r>
      <w:r w:rsidRPr="009F0DBA">
        <w:rPr>
          <w:rFonts w:ascii="Times New Roman" w:hAnsi="Times New Roman" w:cs="Times New Roman"/>
          <w:sz w:val="22"/>
          <w:szCs w:val="22"/>
        </w:rPr>
        <w:t xml:space="preserve">s accepted into </w:t>
      </w:r>
      <w:r>
        <w:rPr>
          <w:rFonts w:ascii="Times New Roman" w:hAnsi="Times New Roman" w:cs="Times New Roman"/>
          <w:sz w:val="22"/>
          <w:szCs w:val="22"/>
        </w:rPr>
        <w:t>[P</w:t>
      </w:r>
      <w:r w:rsidRPr="009F0DBA">
        <w:rPr>
          <w:rFonts w:ascii="Times New Roman" w:hAnsi="Times New Roman" w:cs="Times New Roman"/>
          <w:sz w:val="22"/>
          <w:szCs w:val="22"/>
        </w:rPr>
        <w:t>ool</w:t>
      </w:r>
      <w:r>
        <w:rPr>
          <w:rFonts w:ascii="Times New Roman" w:hAnsi="Times New Roman" w:cs="Times New Roman"/>
          <w:sz w:val="22"/>
          <w:szCs w:val="22"/>
        </w:rPr>
        <w:t>Re]</w:t>
      </w:r>
      <w:r w:rsidRPr="009F0DBA">
        <w:rPr>
          <w:rFonts w:ascii="Times New Roman" w:hAnsi="Times New Roman" w:cs="Times New Roman"/>
          <w:sz w:val="22"/>
          <w:szCs w:val="22"/>
        </w:rPr>
        <w:t xml:space="preserve"> has a</w:t>
      </w:r>
      <w:r>
        <w:rPr>
          <w:rFonts w:ascii="Times New Roman" w:hAnsi="Times New Roman" w:cs="Times New Roman"/>
          <w:sz w:val="22"/>
          <w:szCs w:val="22"/>
        </w:rPr>
        <w:t xml:space="preserve"> [stop loss] </w:t>
      </w:r>
      <w:r w:rsidRPr="009F0DBA">
        <w:rPr>
          <w:rFonts w:ascii="Times New Roman" w:hAnsi="Times New Roman" w:cs="Times New Roman"/>
          <w:sz w:val="22"/>
          <w:szCs w:val="22"/>
        </w:rPr>
        <w:t>endorsement on the policy</w:t>
      </w:r>
      <w:r>
        <w:rPr>
          <w:rFonts w:ascii="Times New Roman" w:hAnsi="Times New Roman" w:cs="Times New Roman"/>
          <w:sz w:val="22"/>
          <w:szCs w:val="22"/>
        </w:rPr>
        <w:t>” and further testified as follows: “T</w:t>
      </w:r>
      <w:r w:rsidRPr="00CA4367">
        <w:rPr>
          <w:rFonts w:ascii="Times New Roman" w:hAnsi="Times New Roman" w:cs="Times New Roman"/>
          <w:sz w:val="22"/>
          <w:szCs w:val="22"/>
        </w:rPr>
        <w:t>here</w:t>
      </w:r>
      <w:r>
        <w:rPr>
          <w:rFonts w:ascii="Times New Roman" w:hAnsi="Times New Roman" w:cs="Times New Roman"/>
          <w:sz w:val="22"/>
          <w:szCs w:val="22"/>
        </w:rPr>
        <w:t>’</w:t>
      </w:r>
      <w:r w:rsidRPr="00CA4367">
        <w:rPr>
          <w:rFonts w:ascii="Times New Roman" w:hAnsi="Times New Roman" w:cs="Times New Roman"/>
          <w:sz w:val="22"/>
          <w:szCs w:val="22"/>
        </w:rPr>
        <w:t>s about</w:t>
      </w:r>
      <w:r>
        <w:rPr>
          <w:rFonts w:ascii="Times New Roman" w:hAnsi="Times New Roman" w:cs="Times New Roman"/>
          <w:sz w:val="22"/>
          <w:szCs w:val="22"/>
        </w:rPr>
        <w:t xml:space="preserve"> – </w:t>
      </w:r>
      <w:r w:rsidRPr="00CA4367">
        <w:rPr>
          <w:rFonts w:ascii="Times New Roman" w:hAnsi="Times New Roman" w:cs="Times New Roman"/>
          <w:sz w:val="22"/>
          <w:szCs w:val="22"/>
        </w:rPr>
        <w:t>anywhere between 429 and 575</w:t>
      </w:r>
      <w:r>
        <w:rPr>
          <w:rFonts w:ascii="Times New Roman" w:hAnsi="Times New Roman" w:cs="Times New Roman"/>
          <w:sz w:val="22"/>
          <w:szCs w:val="22"/>
        </w:rPr>
        <w:t xml:space="preserve"> (for years 2008-2010) </w:t>
      </w:r>
      <w:r w:rsidRPr="00CA4367">
        <w:rPr>
          <w:rFonts w:ascii="Times New Roman" w:hAnsi="Times New Roman" w:cs="Times New Roman"/>
          <w:sz w:val="22"/>
          <w:szCs w:val="22"/>
        </w:rPr>
        <w:t xml:space="preserve">other insurance contracts from totally unaffiliated </w:t>
      </w:r>
      <w:r>
        <w:rPr>
          <w:rFonts w:ascii="Times New Roman" w:hAnsi="Times New Roman" w:cs="Times New Roman"/>
          <w:sz w:val="22"/>
          <w:szCs w:val="22"/>
        </w:rPr>
        <w:t xml:space="preserve">– </w:t>
      </w:r>
      <w:r w:rsidRPr="00CA4367">
        <w:rPr>
          <w:rFonts w:ascii="Times New Roman" w:hAnsi="Times New Roman" w:cs="Times New Roman"/>
          <w:sz w:val="22"/>
          <w:szCs w:val="22"/>
        </w:rPr>
        <w:t>generally from unaffiliated people out there</w:t>
      </w:r>
      <w:r>
        <w:rPr>
          <w:rFonts w:ascii="Times New Roman" w:hAnsi="Times New Roman" w:cs="Times New Roman"/>
          <w:sz w:val="22"/>
          <w:szCs w:val="22"/>
        </w:rPr>
        <w:t xml:space="preserve"> </w:t>
      </w:r>
      <w:r w:rsidRPr="00CA4367">
        <w:rPr>
          <w:rFonts w:ascii="Times New Roman" w:hAnsi="Times New Roman" w:cs="Times New Roman"/>
          <w:sz w:val="22"/>
          <w:szCs w:val="22"/>
        </w:rPr>
        <w:t>throughout the United States that are also paying</w:t>
      </w:r>
      <w:r>
        <w:rPr>
          <w:rFonts w:ascii="Times New Roman" w:hAnsi="Times New Roman" w:cs="Times New Roman"/>
          <w:sz w:val="22"/>
          <w:szCs w:val="22"/>
        </w:rPr>
        <w:t xml:space="preserve"> </w:t>
      </w:r>
      <w:r w:rsidRPr="00CA4367">
        <w:rPr>
          <w:rFonts w:ascii="Times New Roman" w:hAnsi="Times New Roman" w:cs="Times New Roman"/>
          <w:sz w:val="22"/>
          <w:szCs w:val="22"/>
        </w:rPr>
        <w:t>money in for stop-loss premiums at the same time.</w:t>
      </w:r>
      <w:r>
        <w:rPr>
          <w:rFonts w:ascii="Times New Roman" w:hAnsi="Times New Roman" w:cs="Times New Roman"/>
          <w:sz w:val="22"/>
          <w:szCs w:val="22"/>
        </w:rPr>
        <w:t xml:space="preserve">  </w:t>
      </w:r>
      <w:r w:rsidRPr="00CA4367">
        <w:rPr>
          <w:rFonts w:ascii="Times New Roman" w:hAnsi="Times New Roman" w:cs="Times New Roman"/>
          <w:sz w:val="22"/>
          <w:szCs w:val="22"/>
        </w:rPr>
        <w:t>They</w:t>
      </w:r>
      <w:r>
        <w:rPr>
          <w:rFonts w:ascii="Times New Roman" w:hAnsi="Times New Roman" w:cs="Times New Roman"/>
          <w:sz w:val="22"/>
          <w:szCs w:val="22"/>
        </w:rPr>
        <w:t>’</w:t>
      </w:r>
      <w:r w:rsidRPr="00CA4367">
        <w:rPr>
          <w:rFonts w:ascii="Times New Roman" w:hAnsi="Times New Roman" w:cs="Times New Roman"/>
          <w:sz w:val="22"/>
          <w:szCs w:val="22"/>
        </w:rPr>
        <w:t>re writing policies through their own</w:t>
      </w:r>
      <w:r>
        <w:rPr>
          <w:rFonts w:ascii="Times New Roman" w:hAnsi="Times New Roman" w:cs="Times New Roman"/>
          <w:sz w:val="22"/>
          <w:szCs w:val="22"/>
        </w:rPr>
        <w:t xml:space="preserve"> </w:t>
      </w:r>
      <w:r w:rsidRPr="00CA4367">
        <w:rPr>
          <w:rFonts w:ascii="Times New Roman" w:hAnsi="Times New Roman" w:cs="Times New Roman"/>
          <w:sz w:val="22"/>
          <w:szCs w:val="22"/>
        </w:rPr>
        <w:t>unaffiliated captives.</w:t>
      </w:r>
      <w:r>
        <w:rPr>
          <w:rFonts w:ascii="Times New Roman" w:hAnsi="Times New Roman" w:cs="Times New Roman"/>
          <w:sz w:val="22"/>
          <w:szCs w:val="22"/>
        </w:rPr>
        <w:t xml:space="preserve">  </w:t>
      </w:r>
      <w:r w:rsidRPr="001140AD">
        <w:rPr>
          <w:rFonts w:ascii="Times New Roman" w:hAnsi="Times New Roman" w:cs="Times New Roman"/>
          <w:sz w:val="22"/>
          <w:szCs w:val="22"/>
        </w:rPr>
        <w:t>And as it affects PoolRe, money is coming</w:t>
      </w:r>
      <w:r>
        <w:rPr>
          <w:rFonts w:ascii="Times New Roman" w:hAnsi="Times New Roman" w:cs="Times New Roman"/>
          <w:sz w:val="22"/>
          <w:szCs w:val="22"/>
        </w:rPr>
        <w:t xml:space="preserve"> [</w:t>
      </w:r>
      <w:r w:rsidRPr="001140AD">
        <w:rPr>
          <w:rFonts w:ascii="Times New Roman" w:hAnsi="Times New Roman" w:cs="Times New Roman"/>
          <w:sz w:val="22"/>
          <w:szCs w:val="22"/>
        </w:rPr>
        <w:t>into</w:t>
      </w:r>
      <w:r>
        <w:rPr>
          <w:rFonts w:ascii="Times New Roman" w:hAnsi="Times New Roman" w:cs="Times New Roman"/>
          <w:sz w:val="22"/>
          <w:szCs w:val="22"/>
        </w:rPr>
        <w:t>]</w:t>
      </w:r>
      <w:r w:rsidRPr="001140AD">
        <w:rPr>
          <w:rFonts w:ascii="Times New Roman" w:hAnsi="Times New Roman" w:cs="Times New Roman"/>
          <w:sz w:val="22"/>
          <w:szCs w:val="22"/>
        </w:rPr>
        <w:t xml:space="preserve"> PoolRe for the stop-loss premium, about $30</w:t>
      </w:r>
      <w:r>
        <w:rPr>
          <w:rFonts w:ascii="Times New Roman" w:hAnsi="Times New Roman" w:cs="Times New Roman"/>
          <w:sz w:val="22"/>
          <w:szCs w:val="22"/>
        </w:rPr>
        <w:t xml:space="preserve"> </w:t>
      </w:r>
      <w:r w:rsidRPr="001140AD">
        <w:rPr>
          <w:rFonts w:ascii="Times New Roman" w:hAnsi="Times New Roman" w:cs="Times New Roman"/>
          <w:sz w:val="22"/>
          <w:szCs w:val="22"/>
        </w:rPr>
        <w:t>million in a particular year. Le</w:t>
      </w:r>
      <w:r>
        <w:rPr>
          <w:rFonts w:ascii="Times New Roman" w:hAnsi="Times New Roman" w:cs="Times New Roman"/>
          <w:sz w:val="22"/>
          <w:szCs w:val="22"/>
        </w:rPr>
        <w:t>t’</w:t>
      </w:r>
      <w:r w:rsidRPr="001140AD">
        <w:rPr>
          <w:rFonts w:ascii="Times New Roman" w:hAnsi="Times New Roman" w:cs="Times New Roman"/>
          <w:sz w:val="22"/>
          <w:szCs w:val="22"/>
        </w:rPr>
        <w:t>s just say it</w:t>
      </w:r>
      <w:r>
        <w:rPr>
          <w:rFonts w:ascii="Times New Roman" w:hAnsi="Times New Roman" w:cs="Times New Roman"/>
          <w:sz w:val="22"/>
          <w:szCs w:val="22"/>
        </w:rPr>
        <w:t>’</w:t>
      </w:r>
      <w:r w:rsidRPr="001140AD">
        <w:rPr>
          <w:rFonts w:ascii="Times New Roman" w:hAnsi="Times New Roman" w:cs="Times New Roman"/>
          <w:sz w:val="22"/>
          <w:szCs w:val="22"/>
        </w:rPr>
        <w:t>s</w:t>
      </w:r>
      <w:r>
        <w:rPr>
          <w:rFonts w:ascii="Times New Roman" w:hAnsi="Times New Roman" w:cs="Times New Roman"/>
          <w:sz w:val="22"/>
          <w:szCs w:val="22"/>
        </w:rPr>
        <w:t xml:space="preserve"> </w:t>
      </w:r>
      <w:r w:rsidRPr="001140AD">
        <w:rPr>
          <w:rFonts w:ascii="Times New Roman" w:hAnsi="Times New Roman" w:cs="Times New Roman"/>
          <w:sz w:val="22"/>
          <w:szCs w:val="22"/>
        </w:rPr>
        <w:t xml:space="preserve">$30 million. PoolRe takes all this money </w:t>
      </w:r>
      <w:r>
        <w:rPr>
          <w:rFonts w:ascii="Times New Roman" w:hAnsi="Times New Roman" w:cs="Times New Roman"/>
          <w:sz w:val="22"/>
          <w:szCs w:val="22"/>
        </w:rPr>
        <w:t xml:space="preserve">[received in the form of stop loss premium] </w:t>
      </w:r>
      <w:r w:rsidRPr="001140AD">
        <w:rPr>
          <w:rFonts w:ascii="Times New Roman" w:hAnsi="Times New Roman" w:cs="Times New Roman"/>
          <w:sz w:val="22"/>
          <w:szCs w:val="22"/>
        </w:rPr>
        <w:t>and</w:t>
      </w:r>
      <w:r>
        <w:rPr>
          <w:rFonts w:ascii="Times New Roman" w:hAnsi="Times New Roman" w:cs="Times New Roman"/>
          <w:sz w:val="22"/>
          <w:szCs w:val="22"/>
        </w:rPr>
        <w:t xml:space="preserve"> </w:t>
      </w:r>
      <w:r w:rsidRPr="001140AD">
        <w:rPr>
          <w:rFonts w:ascii="Times New Roman" w:hAnsi="Times New Roman" w:cs="Times New Roman"/>
          <w:sz w:val="22"/>
          <w:szCs w:val="22"/>
        </w:rPr>
        <w:t>homogenizes it and blends it</w:t>
      </w:r>
      <w:r>
        <w:rPr>
          <w:rFonts w:ascii="Times New Roman" w:hAnsi="Times New Roman" w:cs="Times New Roman"/>
          <w:sz w:val="22"/>
          <w:szCs w:val="22"/>
        </w:rPr>
        <w:t xml:space="preserve">…and </w:t>
      </w:r>
      <w:r w:rsidRPr="00A97CF4">
        <w:rPr>
          <w:rFonts w:ascii="Times New Roman" w:hAnsi="Times New Roman" w:cs="Times New Roman"/>
          <w:sz w:val="22"/>
          <w:szCs w:val="22"/>
        </w:rPr>
        <w:t>then sends back out a quota share of</w:t>
      </w:r>
      <w:r>
        <w:rPr>
          <w:rFonts w:ascii="Times New Roman" w:hAnsi="Times New Roman" w:cs="Times New Roman"/>
          <w:sz w:val="22"/>
          <w:szCs w:val="22"/>
        </w:rPr>
        <w:t xml:space="preserve"> </w:t>
      </w:r>
      <w:r w:rsidRPr="00A97CF4">
        <w:rPr>
          <w:rFonts w:ascii="Times New Roman" w:hAnsi="Times New Roman" w:cs="Times New Roman"/>
          <w:sz w:val="22"/>
          <w:szCs w:val="22"/>
        </w:rPr>
        <w:t xml:space="preserve">the overall </w:t>
      </w:r>
      <w:r>
        <w:rPr>
          <w:rFonts w:ascii="Times New Roman" w:hAnsi="Times New Roman" w:cs="Times New Roman"/>
          <w:sz w:val="22"/>
          <w:szCs w:val="22"/>
        </w:rPr>
        <w:t xml:space="preserve">[blended] </w:t>
      </w:r>
      <w:r w:rsidRPr="00A97CF4">
        <w:rPr>
          <w:rFonts w:ascii="Times New Roman" w:hAnsi="Times New Roman" w:cs="Times New Roman"/>
          <w:sz w:val="22"/>
          <w:szCs w:val="22"/>
        </w:rPr>
        <w:t>risks that PoolRe has assumed from these</w:t>
      </w:r>
      <w:r>
        <w:rPr>
          <w:rFonts w:ascii="Times New Roman" w:hAnsi="Times New Roman" w:cs="Times New Roman"/>
          <w:sz w:val="22"/>
          <w:szCs w:val="22"/>
        </w:rPr>
        <w:t xml:space="preserve"> </w:t>
      </w:r>
      <w:r w:rsidRPr="00A97CF4">
        <w:rPr>
          <w:rFonts w:ascii="Times New Roman" w:hAnsi="Times New Roman" w:cs="Times New Roman"/>
          <w:sz w:val="22"/>
          <w:szCs w:val="22"/>
        </w:rPr>
        <w:t xml:space="preserve">429 to 575 different </w:t>
      </w:r>
      <w:r>
        <w:rPr>
          <w:rFonts w:ascii="Times New Roman" w:hAnsi="Times New Roman" w:cs="Times New Roman"/>
          <w:sz w:val="22"/>
          <w:szCs w:val="22"/>
        </w:rPr>
        <w:t>[insurance contracts]</w:t>
      </w:r>
      <w:r w:rsidRPr="00A97CF4">
        <w:rPr>
          <w:rFonts w:ascii="Times New Roman" w:hAnsi="Times New Roman" w:cs="Times New Roman"/>
          <w:sz w:val="22"/>
          <w:szCs w:val="22"/>
        </w:rPr>
        <w:t>, from 150 affiliated</w:t>
      </w:r>
      <w:r>
        <w:rPr>
          <w:rFonts w:ascii="Times New Roman" w:hAnsi="Times New Roman" w:cs="Times New Roman"/>
          <w:sz w:val="22"/>
          <w:szCs w:val="22"/>
        </w:rPr>
        <w:t xml:space="preserve"> </w:t>
      </w:r>
      <w:r w:rsidRPr="00A97CF4">
        <w:rPr>
          <w:rFonts w:ascii="Times New Roman" w:hAnsi="Times New Roman" w:cs="Times New Roman"/>
          <w:sz w:val="22"/>
          <w:szCs w:val="22"/>
        </w:rPr>
        <w:t>insureds</w:t>
      </w:r>
      <w:r>
        <w:rPr>
          <w:rFonts w:ascii="Times New Roman" w:hAnsi="Times New Roman" w:cs="Times New Roman"/>
          <w:sz w:val="22"/>
          <w:szCs w:val="22"/>
        </w:rPr>
        <w:t xml:space="preserve"> (for years 2008-2010) </w:t>
      </w:r>
      <w:r w:rsidRPr="00A97CF4">
        <w:rPr>
          <w:rFonts w:ascii="Times New Roman" w:hAnsi="Times New Roman" w:cs="Times New Roman"/>
          <w:sz w:val="22"/>
          <w:szCs w:val="22"/>
        </w:rPr>
        <w:t xml:space="preserve">and sends </w:t>
      </w:r>
      <w:r>
        <w:rPr>
          <w:rFonts w:ascii="Times New Roman" w:hAnsi="Times New Roman" w:cs="Times New Roman"/>
          <w:sz w:val="22"/>
          <w:szCs w:val="22"/>
        </w:rPr>
        <w:t xml:space="preserve">[Reserve’s quota share of the [blended risks] </w:t>
      </w:r>
      <w:r w:rsidRPr="00A97CF4">
        <w:rPr>
          <w:rFonts w:ascii="Times New Roman" w:hAnsi="Times New Roman" w:cs="Times New Roman"/>
          <w:sz w:val="22"/>
          <w:szCs w:val="22"/>
        </w:rPr>
        <w:t>back to Reserve Casualty</w:t>
      </w:r>
      <w:r>
        <w:rPr>
          <w:rFonts w:ascii="Times New Roman" w:hAnsi="Times New Roman" w:cs="Times New Roman"/>
          <w:sz w:val="22"/>
          <w:szCs w:val="22"/>
        </w:rPr>
        <w:t xml:space="preserve">, </w:t>
      </w:r>
      <w:r w:rsidRPr="00A97CF4">
        <w:rPr>
          <w:rFonts w:ascii="Times New Roman" w:hAnsi="Times New Roman" w:cs="Times New Roman"/>
          <w:sz w:val="22"/>
          <w:szCs w:val="22"/>
        </w:rPr>
        <w:t>and that</w:t>
      </w:r>
      <w:r>
        <w:rPr>
          <w:rFonts w:ascii="Times New Roman" w:hAnsi="Times New Roman" w:cs="Times New Roman"/>
          <w:sz w:val="22"/>
          <w:szCs w:val="22"/>
        </w:rPr>
        <w:t>’</w:t>
      </w:r>
      <w:r w:rsidRPr="00A97CF4">
        <w:rPr>
          <w:rFonts w:ascii="Times New Roman" w:hAnsi="Times New Roman" w:cs="Times New Roman"/>
          <w:sz w:val="22"/>
          <w:szCs w:val="22"/>
        </w:rPr>
        <w:t xml:space="preserve">s the 1.35 to 1.55 </w:t>
      </w:r>
      <w:r>
        <w:rPr>
          <w:rFonts w:ascii="Times New Roman" w:hAnsi="Times New Roman" w:cs="Times New Roman"/>
          <w:sz w:val="22"/>
          <w:szCs w:val="22"/>
        </w:rPr>
        <w:t xml:space="preserve">[percent] </w:t>
      </w:r>
      <w:r w:rsidRPr="00A97CF4">
        <w:rPr>
          <w:rFonts w:ascii="Times New Roman" w:hAnsi="Times New Roman" w:cs="Times New Roman"/>
          <w:sz w:val="22"/>
          <w:szCs w:val="22"/>
        </w:rPr>
        <w:t>of the total premiums of</w:t>
      </w:r>
      <w:r>
        <w:rPr>
          <w:rFonts w:ascii="Times New Roman" w:hAnsi="Times New Roman" w:cs="Times New Roman"/>
          <w:sz w:val="22"/>
          <w:szCs w:val="22"/>
        </w:rPr>
        <w:t xml:space="preserve"> </w:t>
      </w:r>
      <w:r w:rsidRPr="00A97CF4">
        <w:rPr>
          <w:rFonts w:ascii="Times New Roman" w:hAnsi="Times New Roman" w:cs="Times New Roman"/>
          <w:sz w:val="22"/>
          <w:szCs w:val="22"/>
        </w:rPr>
        <w:t>PoolRe</w:t>
      </w:r>
      <w:r>
        <w:rPr>
          <w:rFonts w:ascii="Times New Roman" w:hAnsi="Times New Roman" w:cs="Times New Roman"/>
          <w:sz w:val="22"/>
          <w:szCs w:val="22"/>
        </w:rPr>
        <w:t xml:space="preserve"> [received by Reserve in exchange for assuming its quota share of PoolRe’s blended risks]</w:t>
      </w:r>
      <w:r w:rsidRPr="00A97CF4">
        <w:rPr>
          <w:rFonts w:ascii="Times New Roman" w:hAnsi="Times New Roman" w:cs="Times New Roman"/>
          <w:sz w:val="22"/>
          <w:szCs w:val="22"/>
        </w:rPr>
        <w:t>.</w:t>
      </w:r>
      <w:r>
        <w:rPr>
          <w:rFonts w:ascii="Times New Roman" w:hAnsi="Times New Roman" w:cs="Times New Roman"/>
          <w:sz w:val="22"/>
          <w:szCs w:val="22"/>
        </w:rPr>
        <w:t>”</w:t>
      </w:r>
    </w:p>
    <w:p w14:paraId="2AC91E95" w14:textId="77777777" w:rsidR="00434620" w:rsidRPr="00E17141" w:rsidRDefault="00434620">
      <w:pPr>
        <w:pStyle w:val="EndnoteText"/>
        <w:rPr>
          <w:rFonts w:ascii="Times New Roman" w:hAnsi="Times New Roman" w:cs="Times New Roman"/>
          <w:sz w:val="22"/>
          <w:szCs w:val="22"/>
        </w:rPr>
      </w:pPr>
    </w:p>
  </w:endnote>
  <w:endnote w:id="53">
    <w:p w14:paraId="00A701B1" w14:textId="77777777" w:rsidR="00434620" w:rsidRDefault="00434620">
      <w:pPr>
        <w:pStyle w:val="EndnoteText"/>
        <w:rPr>
          <w:rFonts w:ascii="Times New Roman" w:hAnsi="Times New Roman" w:cs="Times New Roman"/>
          <w:sz w:val="22"/>
          <w:szCs w:val="22"/>
        </w:rPr>
      </w:pPr>
      <w:r w:rsidRPr="0040063E">
        <w:rPr>
          <w:rStyle w:val="EndnoteReference"/>
          <w:rFonts w:ascii="Times New Roman" w:hAnsi="Times New Roman" w:cs="Times New Roman"/>
          <w:sz w:val="22"/>
          <w:szCs w:val="22"/>
        </w:rPr>
        <w:endnoteRef/>
      </w:r>
      <w:r w:rsidRPr="0040063E">
        <w:rPr>
          <w:rFonts w:ascii="Times New Roman" w:hAnsi="Times New Roman" w:cs="Times New Roman"/>
          <w:sz w:val="22"/>
          <w:szCs w:val="22"/>
        </w:rPr>
        <w:t xml:space="preserve"> </w:t>
      </w:r>
      <w:r w:rsidRPr="00517040">
        <w:rPr>
          <w:rFonts w:ascii="Times New Roman" w:hAnsi="Times New Roman" w:cs="Times New Roman"/>
          <w:i/>
          <w:sz w:val="22"/>
          <w:szCs w:val="22"/>
        </w:rPr>
        <w:t>See</w:t>
      </w:r>
      <w:r w:rsidRPr="0040063E">
        <w:rPr>
          <w:rFonts w:ascii="Times New Roman" w:hAnsi="Times New Roman" w:cs="Times New Roman"/>
          <w:sz w:val="22"/>
          <w:szCs w:val="22"/>
        </w:rPr>
        <w:t xml:space="preserve"> Exhibit 27-J (Reserve Casualty Corp., Audited Financial Statements and Notes, Statutory Basis, December 31, 2010 and the Period from inception to December 31, 2009 and Independent Auditor’s Report of Liptz &amp; Associates, Inc.), page 6, Note 2(a).  </w:t>
      </w:r>
      <w:r>
        <w:rPr>
          <w:rFonts w:ascii="Times New Roman" w:hAnsi="Times New Roman" w:cs="Times New Roman"/>
          <w:sz w:val="22"/>
          <w:szCs w:val="22"/>
        </w:rPr>
        <w:t>In Note 2(a), t</w:t>
      </w:r>
      <w:r w:rsidRPr="0040063E">
        <w:rPr>
          <w:rFonts w:ascii="Times New Roman" w:hAnsi="Times New Roman" w:cs="Times New Roman"/>
          <w:sz w:val="22"/>
          <w:szCs w:val="22"/>
        </w:rPr>
        <w:t>he independent auditors’ report received from Liptz &amp; Associates, Inc. by Reserve attested to the fact that “[Reserve’s] financial statements were prepared in accordance with and in compliance with accounting practices prescribed by [the] Anguilla Insurance Act and Regulations.”</w:t>
      </w:r>
    </w:p>
    <w:p w14:paraId="21F88253" w14:textId="77777777" w:rsidR="00434620" w:rsidRPr="0040063E" w:rsidRDefault="00434620">
      <w:pPr>
        <w:pStyle w:val="EndnoteText"/>
        <w:rPr>
          <w:rFonts w:ascii="Times New Roman" w:hAnsi="Times New Roman" w:cs="Times New Roman"/>
          <w:sz w:val="22"/>
          <w:szCs w:val="22"/>
        </w:rPr>
      </w:pPr>
    </w:p>
  </w:endnote>
  <w:endnote w:id="54">
    <w:p w14:paraId="55AC6545" w14:textId="77777777" w:rsidR="00434620" w:rsidRPr="0040063E" w:rsidRDefault="00434620">
      <w:pPr>
        <w:pStyle w:val="EndnoteText"/>
        <w:rPr>
          <w:rFonts w:ascii="Times New Roman" w:hAnsi="Times New Roman" w:cs="Times New Roman"/>
          <w:sz w:val="22"/>
          <w:szCs w:val="22"/>
        </w:rPr>
      </w:pPr>
      <w:r w:rsidRPr="0040063E">
        <w:rPr>
          <w:rStyle w:val="EndnoteReference"/>
          <w:rFonts w:ascii="Times New Roman" w:hAnsi="Times New Roman" w:cs="Times New Roman"/>
          <w:sz w:val="22"/>
          <w:szCs w:val="22"/>
        </w:rPr>
        <w:endnoteRef/>
      </w:r>
      <w:r w:rsidRPr="0040063E">
        <w:rPr>
          <w:rFonts w:ascii="Times New Roman" w:hAnsi="Times New Roman" w:cs="Times New Roman"/>
          <w:sz w:val="22"/>
          <w:szCs w:val="22"/>
        </w:rPr>
        <w:t xml:space="preserve"> </w:t>
      </w:r>
      <w:r w:rsidRPr="00517040">
        <w:rPr>
          <w:rFonts w:ascii="Times New Roman" w:hAnsi="Times New Roman" w:cs="Times New Roman"/>
          <w:i/>
          <w:sz w:val="22"/>
          <w:szCs w:val="22"/>
        </w:rPr>
        <w:t>See</w:t>
      </w:r>
      <w:r w:rsidRPr="00384BEC">
        <w:rPr>
          <w:rFonts w:ascii="Times New Roman" w:hAnsi="Times New Roman" w:cs="Times New Roman"/>
          <w:sz w:val="22"/>
          <w:szCs w:val="22"/>
        </w:rPr>
        <w:t xml:space="preserve"> Exhibit 27-J (Reserve Casualty Corp., Audited Financial Statements and Notes, Statutory Basis, December 31, 2010 and the Period from inception to December 31, 2009 and Independent Auditor’s Report of Liptz &amp; Associates, Inc.), page 6, Note 2(c).  Note 2(c) stated as follows: “[Reserve] participates in a reinsurance risk pooling program with other unrelated insurance companies (“pool participants”), of which there were 58 in 2010.  This risk pool is operated by an unaffiliated regulated insurance corporation, PoolRe Insurance Corp. (“PoolRe”).  Each pool participant has one or more affiliated operating entities for which it underwrites insurance coverage, which is generally similar casualty-type coverages.  PoolRe participates in these policies through Stop Loss insurance contracts.  In total, the PoolRe sponsored </w:t>
      </w:r>
      <w:r>
        <w:rPr>
          <w:rFonts w:ascii="Times New Roman" w:hAnsi="Times New Roman" w:cs="Times New Roman"/>
          <w:sz w:val="22"/>
          <w:szCs w:val="22"/>
        </w:rPr>
        <w:t xml:space="preserve">2010 </w:t>
      </w:r>
      <w:r w:rsidRPr="00384BEC">
        <w:rPr>
          <w:rFonts w:ascii="Times New Roman" w:hAnsi="Times New Roman" w:cs="Times New Roman"/>
          <w:sz w:val="22"/>
          <w:szCs w:val="22"/>
        </w:rPr>
        <w:t>risk pool comprises 650</w:t>
      </w:r>
      <w:r>
        <w:rPr>
          <w:rFonts w:ascii="Times New Roman" w:hAnsi="Times New Roman" w:cs="Times New Roman"/>
          <w:sz w:val="22"/>
          <w:szCs w:val="22"/>
        </w:rPr>
        <w:t>+</w:t>
      </w:r>
      <w:r w:rsidRPr="00384BEC">
        <w:rPr>
          <w:rFonts w:ascii="Times New Roman" w:hAnsi="Times New Roman" w:cs="Times New Roman"/>
          <w:sz w:val="22"/>
          <w:szCs w:val="22"/>
        </w:rPr>
        <w:t xml:space="preserve"> Stop Loss insurance contracts for 200</w:t>
      </w:r>
      <w:r>
        <w:rPr>
          <w:rFonts w:ascii="Times New Roman" w:hAnsi="Times New Roman" w:cs="Times New Roman"/>
          <w:sz w:val="22"/>
          <w:szCs w:val="22"/>
        </w:rPr>
        <w:t>+</w:t>
      </w:r>
      <w:r w:rsidRPr="00384BEC">
        <w:rPr>
          <w:rFonts w:ascii="Times New Roman" w:hAnsi="Times New Roman" w:cs="Times New Roman"/>
          <w:sz w:val="22"/>
          <w:szCs w:val="22"/>
        </w:rPr>
        <w:t xml:space="preserve"> insureds, which includes policies issue by [Reserve] as well as those issued by the other pool participants, all of which are unrelated insurance companies.”</w:t>
      </w:r>
    </w:p>
    <w:p w14:paraId="51B5F978" w14:textId="77777777" w:rsidR="00434620" w:rsidRPr="0040063E" w:rsidRDefault="00434620">
      <w:pPr>
        <w:pStyle w:val="EndnoteText"/>
        <w:rPr>
          <w:rFonts w:ascii="Times New Roman" w:hAnsi="Times New Roman" w:cs="Times New Roman"/>
          <w:sz w:val="22"/>
          <w:szCs w:val="22"/>
        </w:rPr>
      </w:pPr>
    </w:p>
  </w:endnote>
  <w:endnote w:id="55">
    <w:p w14:paraId="4D305A3E" w14:textId="5303F775" w:rsidR="00434620" w:rsidRPr="0040063E" w:rsidRDefault="00434620">
      <w:pPr>
        <w:pStyle w:val="EndnoteText"/>
        <w:rPr>
          <w:rFonts w:ascii="Times New Roman" w:hAnsi="Times New Roman" w:cs="Times New Roman"/>
          <w:sz w:val="22"/>
          <w:szCs w:val="22"/>
        </w:rPr>
      </w:pPr>
      <w:r w:rsidRPr="0040063E">
        <w:rPr>
          <w:rStyle w:val="EndnoteReference"/>
          <w:rFonts w:ascii="Times New Roman" w:hAnsi="Times New Roman" w:cs="Times New Roman"/>
          <w:sz w:val="22"/>
          <w:szCs w:val="22"/>
        </w:rPr>
        <w:endnoteRef/>
      </w:r>
      <w:r w:rsidRPr="0040063E">
        <w:rPr>
          <w:rFonts w:ascii="Times New Roman" w:hAnsi="Times New Roman" w:cs="Times New Roman"/>
          <w:sz w:val="22"/>
          <w:szCs w:val="22"/>
        </w:rPr>
        <w:t xml:space="preserve"> </w:t>
      </w:r>
      <w:r>
        <w:rPr>
          <w:rFonts w:ascii="Times New Roman" w:hAnsi="Times New Roman" w:cs="Times New Roman"/>
          <w:sz w:val="22"/>
          <w:szCs w:val="22"/>
        </w:rPr>
        <w:t xml:space="preserve">Source: PoolRe Insurance Corp., Audited Financial Statements – Statutory Basis, December 31, 2010 and 2009 and </w:t>
      </w:r>
      <w:r w:rsidRPr="00E5099D">
        <w:rPr>
          <w:rFonts w:ascii="Times New Roman" w:hAnsi="Times New Roman" w:cs="Times New Roman"/>
          <w:sz w:val="22"/>
          <w:szCs w:val="22"/>
        </w:rPr>
        <w:t>Independent Auditor’s Report of</w:t>
      </w:r>
      <w:r>
        <w:rPr>
          <w:rFonts w:ascii="Times New Roman" w:hAnsi="Times New Roman" w:cs="Times New Roman"/>
          <w:sz w:val="22"/>
          <w:szCs w:val="22"/>
        </w:rPr>
        <w:t xml:space="preserve"> Munninghoff, Lange &amp; Co.).</w:t>
      </w:r>
    </w:p>
    <w:p w14:paraId="5302DAB5" w14:textId="77777777" w:rsidR="00434620" w:rsidRPr="00C85047" w:rsidRDefault="00434620">
      <w:pPr>
        <w:pStyle w:val="EndnoteText"/>
        <w:rPr>
          <w:rFonts w:ascii="Times New Roman" w:hAnsi="Times New Roman" w:cs="Times New Roman"/>
          <w:sz w:val="22"/>
          <w:szCs w:val="22"/>
        </w:rPr>
      </w:pPr>
    </w:p>
  </w:endnote>
  <w:endnote w:id="56">
    <w:p w14:paraId="2F8D37F5" w14:textId="79361484" w:rsidR="00434620" w:rsidRPr="009C7667" w:rsidRDefault="00434620">
      <w:pPr>
        <w:pStyle w:val="EndnoteText"/>
        <w:rPr>
          <w:rFonts w:ascii="Times New Roman" w:hAnsi="Times New Roman" w:cs="Times New Roman"/>
          <w:sz w:val="22"/>
          <w:szCs w:val="22"/>
        </w:rPr>
      </w:pPr>
      <w:r w:rsidRPr="00C85047">
        <w:rPr>
          <w:rStyle w:val="EndnoteReference"/>
          <w:rFonts w:ascii="Times New Roman" w:hAnsi="Times New Roman" w:cs="Times New Roman"/>
        </w:rPr>
        <w:endnoteRef/>
      </w:r>
      <w:r w:rsidRPr="00C85047">
        <w:rPr>
          <w:rFonts w:ascii="Times New Roman" w:hAnsi="Times New Roman" w:cs="Times New Roman"/>
        </w:rPr>
        <w:t xml:space="preserve"> </w:t>
      </w:r>
      <w:r w:rsidRPr="00C81DF8">
        <w:rPr>
          <w:rFonts w:ascii="Times New Roman" w:hAnsi="Times New Roman" w:cs="Times New Roman"/>
          <w:i/>
          <w:sz w:val="22"/>
          <w:szCs w:val="22"/>
        </w:rPr>
        <w:t>Id</w:t>
      </w:r>
      <w:r>
        <w:rPr>
          <w:rFonts w:ascii="Times New Roman" w:hAnsi="Times New Roman" w:cs="Times New Roman"/>
          <w:sz w:val="22"/>
          <w:szCs w:val="22"/>
        </w:rPr>
        <w:t>.</w:t>
      </w:r>
    </w:p>
    <w:p w14:paraId="57A8828D" w14:textId="77777777" w:rsidR="00434620" w:rsidRPr="00C85047" w:rsidRDefault="00434620">
      <w:pPr>
        <w:pStyle w:val="EndnoteText"/>
        <w:rPr>
          <w:rFonts w:ascii="Times New Roman" w:hAnsi="Times New Roman" w:cs="Times New Roman"/>
        </w:rPr>
      </w:pPr>
    </w:p>
  </w:endnote>
  <w:endnote w:id="57">
    <w:p w14:paraId="76A53F2D" w14:textId="6417A10F" w:rsidR="00434620" w:rsidRDefault="00434620" w:rsidP="00F518BA">
      <w:pPr>
        <w:pStyle w:val="EndnoteText"/>
        <w:rPr>
          <w:rFonts w:ascii="Times New Roman" w:hAnsi="Times New Roman" w:cs="Times New Roman"/>
          <w:sz w:val="22"/>
          <w:szCs w:val="22"/>
        </w:rPr>
      </w:pPr>
      <w:r w:rsidRPr="006620BD">
        <w:rPr>
          <w:rStyle w:val="EndnoteReference"/>
          <w:rFonts w:ascii="Times New Roman" w:hAnsi="Times New Roman" w:cs="Times New Roman"/>
          <w:sz w:val="22"/>
          <w:szCs w:val="22"/>
        </w:rPr>
        <w:endnoteRef/>
      </w:r>
      <w:r w:rsidRPr="006620BD">
        <w:rPr>
          <w:rFonts w:ascii="Times New Roman" w:hAnsi="Times New Roman" w:cs="Times New Roman"/>
          <w:sz w:val="22"/>
          <w:szCs w:val="22"/>
        </w:rPr>
        <w:t xml:space="preserve"> </w:t>
      </w:r>
      <w:r w:rsidRPr="00517040">
        <w:rPr>
          <w:rFonts w:ascii="Times New Roman" w:hAnsi="Times New Roman" w:cs="Times New Roman"/>
          <w:i/>
          <w:sz w:val="22"/>
          <w:szCs w:val="22"/>
        </w:rPr>
        <w:t>See</w:t>
      </w:r>
      <w:r w:rsidRPr="006620BD">
        <w:rPr>
          <w:rFonts w:ascii="Times New Roman" w:hAnsi="Times New Roman" w:cs="Times New Roman"/>
          <w:sz w:val="22"/>
          <w:szCs w:val="22"/>
        </w:rPr>
        <w:t xml:space="preserve"> testimony of Steve Kinion, Tr</w:t>
      </w:r>
      <w:r>
        <w:rPr>
          <w:rFonts w:ascii="Times New Roman" w:hAnsi="Times New Roman" w:cs="Times New Roman"/>
          <w:sz w:val="22"/>
          <w:szCs w:val="22"/>
        </w:rPr>
        <w:t>.</w:t>
      </w:r>
      <w:r w:rsidRPr="006620BD">
        <w:rPr>
          <w:rFonts w:ascii="Times New Roman" w:hAnsi="Times New Roman" w:cs="Times New Roman"/>
          <w:sz w:val="22"/>
          <w:szCs w:val="22"/>
        </w:rPr>
        <w:t xml:space="preserve"> at</w:t>
      </w:r>
      <w:r>
        <w:rPr>
          <w:rFonts w:ascii="Times New Roman" w:hAnsi="Times New Roman" w:cs="Times New Roman"/>
          <w:sz w:val="22"/>
          <w:szCs w:val="22"/>
        </w:rPr>
        <w:t xml:space="preserve"> </w:t>
      </w:r>
      <w:r w:rsidRPr="006620BD">
        <w:rPr>
          <w:rFonts w:ascii="Times New Roman" w:hAnsi="Times New Roman" w:cs="Times New Roman"/>
          <w:sz w:val="22"/>
          <w:szCs w:val="22"/>
        </w:rPr>
        <w:t>197-226 and Exhibit 103-P (Expert Report of Steve Kinion</w:t>
      </w:r>
      <w:r>
        <w:rPr>
          <w:rFonts w:ascii="Times New Roman" w:hAnsi="Times New Roman" w:cs="Times New Roman"/>
          <w:sz w:val="22"/>
          <w:szCs w:val="22"/>
        </w:rPr>
        <w:t xml:space="preserve">, </w:t>
      </w:r>
      <w:r w:rsidRPr="006620BD">
        <w:rPr>
          <w:rFonts w:ascii="Times New Roman" w:hAnsi="Times New Roman" w:cs="Times New Roman"/>
          <w:sz w:val="22"/>
          <w:szCs w:val="22"/>
        </w:rPr>
        <w:t>March 26, 2017)</w:t>
      </w:r>
      <w:r>
        <w:rPr>
          <w:rFonts w:ascii="Times New Roman" w:hAnsi="Times New Roman" w:cs="Times New Roman"/>
          <w:sz w:val="22"/>
          <w:szCs w:val="22"/>
        </w:rPr>
        <w:t>, pages 7-9</w:t>
      </w:r>
      <w:r w:rsidRPr="006620BD">
        <w:rPr>
          <w:rFonts w:ascii="Times New Roman" w:hAnsi="Times New Roman" w:cs="Times New Roman"/>
          <w:sz w:val="22"/>
          <w:szCs w:val="22"/>
        </w:rPr>
        <w:t>.  Mr. Kinion</w:t>
      </w:r>
      <w:r>
        <w:rPr>
          <w:rFonts w:ascii="Times New Roman" w:hAnsi="Times New Roman" w:cs="Times New Roman"/>
          <w:sz w:val="22"/>
          <w:szCs w:val="22"/>
        </w:rPr>
        <w:t xml:space="preserve">, </w:t>
      </w:r>
      <w:r w:rsidRPr="006620BD">
        <w:rPr>
          <w:rFonts w:ascii="Times New Roman" w:hAnsi="Times New Roman" w:cs="Times New Roman"/>
          <w:sz w:val="22"/>
          <w:szCs w:val="22"/>
        </w:rPr>
        <w:t>the Director of Delaware’s Bureau of Captive and Financial Insurance Products</w:t>
      </w:r>
      <w:r>
        <w:rPr>
          <w:rFonts w:ascii="Times New Roman" w:hAnsi="Times New Roman" w:cs="Times New Roman"/>
          <w:sz w:val="22"/>
          <w:szCs w:val="22"/>
        </w:rPr>
        <w:t>, testified</w:t>
      </w:r>
      <w:r w:rsidRPr="006620BD">
        <w:rPr>
          <w:rFonts w:ascii="Times New Roman" w:hAnsi="Times New Roman" w:cs="Times New Roman"/>
          <w:sz w:val="22"/>
          <w:szCs w:val="22"/>
        </w:rPr>
        <w:t xml:space="preserve"> </w:t>
      </w:r>
      <w:r w:rsidRPr="00F518BA">
        <w:rPr>
          <w:rFonts w:ascii="Times New Roman" w:hAnsi="Times New Roman" w:cs="Times New Roman"/>
          <w:sz w:val="22"/>
          <w:szCs w:val="22"/>
        </w:rPr>
        <w:t>that Anguilla</w:t>
      </w:r>
      <w:r>
        <w:rPr>
          <w:rFonts w:ascii="Times New Roman" w:hAnsi="Times New Roman" w:cs="Times New Roman"/>
          <w:sz w:val="22"/>
          <w:szCs w:val="22"/>
        </w:rPr>
        <w:t>’</w:t>
      </w:r>
      <w:r w:rsidRPr="00F518BA">
        <w:rPr>
          <w:rFonts w:ascii="Times New Roman" w:hAnsi="Times New Roman" w:cs="Times New Roman"/>
          <w:sz w:val="22"/>
          <w:szCs w:val="22"/>
        </w:rPr>
        <w:t xml:space="preserve">s </w:t>
      </w:r>
      <w:r>
        <w:rPr>
          <w:rFonts w:ascii="Times New Roman" w:hAnsi="Times New Roman" w:cs="Times New Roman"/>
          <w:sz w:val="22"/>
          <w:szCs w:val="22"/>
        </w:rPr>
        <w:t xml:space="preserve">insurance regulatory </w:t>
      </w:r>
      <w:r w:rsidRPr="00F518BA">
        <w:rPr>
          <w:rFonts w:ascii="Times New Roman" w:hAnsi="Times New Roman" w:cs="Times New Roman"/>
          <w:sz w:val="22"/>
          <w:szCs w:val="22"/>
        </w:rPr>
        <w:t>laws are within</w:t>
      </w:r>
      <w:r>
        <w:rPr>
          <w:rFonts w:ascii="Times New Roman" w:hAnsi="Times New Roman" w:cs="Times New Roman"/>
          <w:sz w:val="22"/>
          <w:szCs w:val="22"/>
        </w:rPr>
        <w:t xml:space="preserve"> </w:t>
      </w:r>
      <w:r w:rsidRPr="00F518BA">
        <w:rPr>
          <w:rFonts w:ascii="Times New Roman" w:hAnsi="Times New Roman" w:cs="Times New Roman"/>
          <w:sz w:val="22"/>
          <w:szCs w:val="22"/>
        </w:rPr>
        <w:t>the norms</w:t>
      </w:r>
      <w:r>
        <w:rPr>
          <w:rFonts w:ascii="Times New Roman" w:hAnsi="Times New Roman" w:cs="Times New Roman"/>
          <w:sz w:val="22"/>
          <w:szCs w:val="22"/>
        </w:rPr>
        <w:t xml:space="preserve"> of insurance laws and that t</w:t>
      </w:r>
      <w:r w:rsidRPr="00F518BA">
        <w:rPr>
          <w:rFonts w:ascii="Times New Roman" w:hAnsi="Times New Roman" w:cs="Times New Roman"/>
          <w:sz w:val="22"/>
          <w:szCs w:val="22"/>
        </w:rPr>
        <w:t>hey are very similar to the captive insurance laws codified in many U.S. states,</w:t>
      </w:r>
      <w:r>
        <w:rPr>
          <w:rFonts w:ascii="Times New Roman" w:hAnsi="Times New Roman" w:cs="Times New Roman"/>
          <w:sz w:val="22"/>
          <w:szCs w:val="22"/>
        </w:rPr>
        <w:t xml:space="preserve"> </w:t>
      </w:r>
      <w:r w:rsidRPr="00F518BA">
        <w:rPr>
          <w:rFonts w:ascii="Times New Roman" w:hAnsi="Times New Roman" w:cs="Times New Roman"/>
          <w:sz w:val="22"/>
          <w:szCs w:val="22"/>
        </w:rPr>
        <w:t>including Delaware.</w:t>
      </w:r>
    </w:p>
    <w:p w14:paraId="3C758707" w14:textId="77777777" w:rsidR="00434620" w:rsidRPr="00B44807" w:rsidRDefault="00434620">
      <w:pPr>
        <w:pStyle w:val="EndnoteText"/>
        <w:rPr>
          <w:rFonts w:ascii="Times New Roman" w:hAnsi="Times New Roman" w:cs="Times New Roman"/>
          <w:sz w:val="22"/>
          <w:szCs w:val="22"/>
        </w:rPr>
      </w:pPr>
    </w:p>
  </w:endnote>
  <w:endnote w:id="58">
    <w:p w14:paraId="03C9DDC1" w14:textId="7E703103" w:rsidR="00434620" w:rsidRDefault="00434620">
      <w:pPr>
        <w:pStyle w:val="EndnoteText"/>
        <w:rPr>
          <w:rFonts w:ascii="Times New Roman" w:hAnsi="Times New Roman" w:cs="Times New Roman"/>
          <w:sz w:val="22"/>
          <w:szCs w:val="22"/>
        </w:rPr>
      </w:pPr>
      <w:r w:rsidRPr="00B44807">
        <w:rPr>
          <w:rStyle w:val="EndnoteReference"/>
          <w:rFonts w:ascii="Times New Roman" w:hAnsi="Times New Roman" w:cs="Times New Roman"/>
          <w:sz w:val="22"/>
          <w:szCs w:val="22"/>
        </w:rPr>
        <w:endnoteRef/>
      </w:r>
      <w:r w:rsidRPr="00B44807">
        <w:rPr>
          <w:rFonts w:ascii="Times New Roman" w:hAnsi="Times New Roman" w:cs="Times New Roman"/>
          <w:sz w:val="22"/>
          <w:szCs w:val="22"/>
        </w:rPr>
        <w:t xml:space="preserve"> </w:t>
      </w:r>
      <w:r w:rsidRPr="00517040">
        <w:rPr>
          <w:rFonts w:ascii="Times New Roman" w:hAnsi="Times New Roman" w:cs="Times New Roman"/>
          <w:i/>
          <w:sz w:val="22"/>
          <w:szCs w:val="22"/>
        </w:rPr>
        <w:t>See</w:t>
      </w:r>
      <w:r w:rsidRPr="000703D7">
        <w:rPr>
          <w:rFonts w:ascii="Times New Roman" w:hAnsi="Times New Roman" w:cs="Times New Roman"/>
          <w:sz w:val="22"/>
          <w:szCs w:val="22"/>
        </w:rPr>
        <w:t xml:space="preserve"> Note 37 supra</w:t>
      </w:r>
      <w:r>
        <w:rPr>
          <w:rFonts w:ascii="Times New Roman" w:hAnsi="Times New Roman" w:cs="Times New Roman"/>
          <w:sz w:val="22"/>
          <w:szCs w:val="22"/>
        </w:rPr>
        <w:t>.</w:t>
      </w:r>
    </w:p>
    <w:p w14:paraId="724CF027" w14:textId="77777777" w:rsidR="00434620" w:rsidRPr="00B44807" w:rsidRDefault="00434620">
      <w:pPr>
        <w:pStyle w:val="EndnoteText"/>
        <w:rPr>
          <w:rFonts w:ascii="Times New Roman" w:hAnsi="Times New Roman" w:cs="Times New Roman"/>
          <w:sz w:val="22"/>
          <w:szCs w:val="22"/>
        </w:rPr>
      </w:pPr>
    </w:p>
  </w:endnote>
  <w:endnote w:id="59">
    <w:p w14:paraId="0CA60D78" w14:textId="77777777" w:rsidR="00434620" w:rsidRDefault="00434620" w:rsidP="001968F1">
      <w:pPr>
        <w:pStyle w:val="EndnoteText"/>
        <w:rPr>
          <w:rFonts w:ascii="Times New Roman" w:hAnsi="Times New Roman" w:cs="Times New Roman"/>
          <w:sz w:val="22"/>
          <w:szCs w:val="22"/>
        </w:rPr>
      </w:pPr>
      <w:r w:rsidRPr="00435A55">
        <w:rPr>
          <w:rStyle w:val="EndnoteReference"/>
          <w:rFonts w:ascii="Times New Roman" w:hAnsi="Times New Roman" w:cs="Times New Roman"/>
          <w:sz w:val="22"/>
          <w:szCs w:val="22"/>
        </w:rPr>
        <w:endnoteRef/>
      </w:r>
      <w:r w:rsidRPr="00435A55">
        <w:rPr>
          <w:rFonts w:ascii="Times New Roman" w:hAnsi="Times New Roman" w:cs="Times New Roman"/>
          <w:sz w:val="22"/>
          <w:szCs w:val="22"/>
        </w:rPr>
        <w:t xml:space="preserve"> </w:t>
      </w:r>
      <w:r w:rsidRPr="00517040">
        <w:rPr>
          <w:rFonts w:ascii="Times New Roman" w:hAnsi="Times New Roman" w:cs="Times New Roman"/>
          <w:i/>
          <w:sz w:val="22"/>
          <w:szCs w:val="22"/>
        </w:rPr>
        <w:t>See</w:t>
      </w:r>
      <w:r>
        <w:rPr>
          <w:rFonts w:ascii="Times New Roman" w:hAnsi="Times New Roman" w:cs="Times New Roman"/>
          <w:sz w:val="22"/>
          <w:szCs w:val="22"/>
        </w:rPr>
        <w:t xml:space="preserve"> Opinion at page 61, where the Court concedes that “</w:t>
      </w:r>
      <w:r w:rsidRPr="00507E25">
        <w:rPr>
          <w:rFonts w:ascii="Times New Roman" w:hAnsi="Times New Roman" w:cs="Times New Roman"/>
          <w:sz w:val="22"/>
          <w:szCs w:val="22"/>
        </w:rPr>
        <w:t>Capstone calculated Reserve</w:t>
      </w:r>
      <w:r>
        <w:rPr>
          <w:rFonts w:ascii="Times New Roman" w:hAnsi="Times New Roman" w:cs="Times New Roman"/>
          <w:sz w:val="22"/>
          <w:szCs w:val="22"/>
        </w:rPr>
        <w:t>’</w:t>
      </w:r>
      <w:r w:rsidRPr="00507E25">
        <w:rPr>
          <w:rFonts w:ascii="Times New Roman" w:hAnsi="Times New Roman" w:cs="Times New Roman"/>
          <w:sz w:val="22"/>
          <w:szCs w:val="22"/>
        </w:rPr>
        <w:t>s</w:t>
      </w:r>
      <w:r>
        <w:rPr>
          <w:rFonts w:ascii="Times New Roman" w:hAnsi="Times New Roman" w:cs="Times New Roman"/>
          <w:sz w:val="22"/>
          <w:szCs w:val="22"/>
        </w:rPr>
        <w:t xml:space="preserve"> </w:t>
      </w:r>
      <w:r w:rsidRPr="00507E25">
        <w:rPr>
          <w:rFonts w:ascii="Times New Roman" w:hAnsi="Times New Roman" w:cs="Times New Roman"/>
          <w:sz w:val="22"/>
          <w:szCs w:val="22"/>
        </w:rPr>
        <w:t>premiums using objective criteria and what appear to be actuarial methods</w:t>
      </w:r>
      <w:r>
        <w:rPr>
          <w:rFonts w:ascii="Times New Roman" w:hAnsi="Times New Roman" w:cs="Times New Roman"/>
          <w:sz w:val="22"/>
          <w:szCs w:val="22"/>
        </w:rPr>
        <w:t>” but then proceeds to conclude that the premiums paid for Reserve’s policies “</w:t>
      </w:r>
      <w:r w:rsidRPr="001968F1">
        <w:rPr>
          <w:rFonts w:ascii="Times New Roman" w:hAnsi="Times New Roman" w:cs="Times New Roman"/>
          <w:sz w:val="22"/>
          <w:szCs w:val="22"/>
        </w:rPr>
        <w:t>were not reasonable and not negotiated at arm</w:t>
      </w:r>
      <w:r>
        <w:rPr>
          <w:rFonts w:ascii="Times New Roman" w:hAnsi="Times New Roman" w:cs="Times New Roman"/>
          <w:sz w:val="22"/>
          <w:szCs w:val="22"/>
        </w:rPr>
        <w:t>’</w:t>
      </w:r>
      <w:r w:rsidRPr="001968F1">
        <w:rPr>
          <w:rFonts w:ascii="Times New Roman" w:hAnsi="Times New Roman" w:cs="Times New Roman"/>
          <w:sz w:val="22"/>
          <w:szCs w:val="22"/>
        </w:rPr>
        <w:t>s</w:t>
      </w:r>
      <w:r>
        <w:rPr>
          <w:rFonts w:ascii="Times New Roman" w:hAnsi="Times New Roman" w:cs="Times New Roman"/>
          <w:sz w:val="22"/>
          <w:szCs w:val="22"/>
        </w:rPr>
        <w:t xml:space="preserve"> </w:t>
      </w:r>
      <w:r w:rsidRPr="001968F1">
        <w:rPr>
          <w:rFonts w:ascii="Times New Roman" w:hAnsi="Times New Roman" w:cs="Times New Roman"/>
          <w:sz w:val="22"/>
          <w:szCs w:val="22"/>
        </w:rPr>
        <w:t>length</w:t>
      </w:r>
      <w:r>
        <w:rPr>
          <w:rFonts w:ascii="Times New Roman" w:hAnsi="Times New Roman" w:cs="Times New Roman"/>
          <w:sz w:val="22"/>
          <w:szCs w:val="22"/>
        </w:rPr>
        <w:t>.”</w:t>
      </w:r>
    </w:p>
    <w:p w14:paraId="595F6D77" w14:textId="77777777" w:rsidR="00434620" w:rsidRPr="00725BA2" w:rsidRDefault="00434620" w:rsidP="00507E25">
      <w:pPr>
        <w:pStyle w:val="EndnoteText"/>
        <w:rPr>
          <w:rFonts w:ascii="Times New Roman" w:hAnsi="Times New Roman" w:cs="Times New Roman"/>
          <w:sz w:val="22"/>
          <w:szCs w:val="22"/>
        </w:rPr>
      </w:pPr>
    </w:p>
  </w:endnote>
  <w:endnote w:id="60">
    <w:p w14:paraId="3CF742E6" w14:textId="77777777" w:rsidR="00434620" w:rsidRPr="00725BA2" w:rsidRDefault="00434620">
      <w:pPr>
        <w:pStyle w:val="EndnoteText"/>
        <w:rPr>
          <w:rFonts w:ascii="Times New Roman" w:hAnsi="Times New Roman" w:cs="Times New Roman"/>
          <w:sz w:val="22"/>
          <w:szCs w:val="22"/>
        </w:rPr>
      </w:pPr>
      <w:r w:rsidRPr="00725BA2">
        <w:rPr>
          <w:rStyle w:val="EndnoteReference"/>
          <w:rFonts w:ascii="Times New Roman" w:hAnsi="Times New Roman" w:cs="Times New Roman"/>
          <w:sz w:val="22"/>
          <w:szCs w:val="22"/>
        </w:rPr>
        <w:endnoteRef/>
      </w:r>
      <w:r>
        <w:rPr>
          <w:rFonts w:ascii="Times New Roman" w:hAnsi="Times New Roman" w:cs="Times New Roman"/>
          <w:sz w:val="22"/>
          <w:szCs w:val="22"/>
        </w:rPr>
        <w:t xml:space="preserve"> </w:t>
      </w:r>
      <w:r w:rsidRPr="00517040">
        <w:rPr>
          <w:rFonts w:ascii="Times New Roman" w:hAnsi="Times New Roman" w:cs="Times New Roman"/>
          <w:i/>
          <w:sz w:val="22"/>
          <w:szCs w:val="22"/>
        </w:rPr>
        <w:t>See</w:t>
      </w:r>
      <w:r w:rsidRPr="00725BA2">
        <w:rPr>
          <w:rFonts w:ascii="Times New Roman" w:hAnsi="Times New Roman" w:cs="Times New Roman"/>
          <w:sz w:val="22"/>
          <w:szCs w:val="22"/>
        </w:rPr>
        <w:t xml:space="preserve"> </w:t>
      </w:r>
      <w:r w:rsidRPr="00A53D0F">
        <w:rPr>
          <w:rFonts w:ascii="Times New Roman" w:hAnsi="Times New Roman" w:cs="Times New Roman"/>
          <w:i/>
          <w:sz w:val="22"/>
          <w:szCs w:val="22"/>
        </w:rPr>
        <w:t>Reserve</w:t>
      </w:r>
      <w:r>
        <w:rPr>
          <w:rFonts w:ascii="Times New Roman" w:hAnsi="Times New Roman" w:cs="Times New Roman"/>
          <w:sz w:val="22"/>
          <w:szCs w:val="22"/>
        </w:rPr>
        <w:t xml:space="preserve"> </w:t>
      </w:r>
      <w:r w:rsidRPr="00725BA2">
        <w:rPr>
          <w:rFonts w:ascii="Times New Roman" w:hAnsi="Times New Roman" w:cs="Times New Roman"/>
          <w:sz w:val="22"/>
          <w:szCs w:val="22"/>
        </w:rPr>
        <w:t xml:space="preserve">at page </w:t>
      </w:r>
      <w:r>
        <w:rPr>
          <w:rFonts w:ascii="Times New Roman" w:hAnsi="Times New Roman" w:cs="Times New Roman"/>
          <w:sz w:val="22"/>
          <w:szCs w:val="22"/>
        </w:rPr>
        <w:t>43.</w:t>
      </w:r>
    </w:p>
    <w:p w14:paraId="74CE5522" w14:textId="77777777" w:rsidR="00434620" w:rsidRPr="00245527" w:rsidRDefault="00434620">
      <w:pPr>
        <w:pStyle w:val="EndnoteText"/>
        <w:rPr>
          <w:rFonts w:ascii="Times New Roman" w:hAnsi="Times New Roman" w:cs="Times New Roman"/>
          <w:sz w:val="22"/>
          <w:szCs w:val="22"/>
        </w:rPr>
      </w:pPr>
    </w:p>
  </w:endnote>
  <w:endnote w:id="61">
    <w:p w14:paraId="2AA4E28D" w14:textId="341DBE99" w:rsidR="00434620" w:rsidRPr="00245527" w:rsidRDefault="00434620">
      <w:pPr>
        <w:pStyle w:val="EndnoteText"/>
        <w:rPr>
          <w:rFonts w:ascii="Times New Roman" w:hAnsi="Times New Roman" w:cs="Times New Roman"/>
          <w:sz w:val="22"/>
          <w:szCs w:val="22"/>
        </w:rPr>
      </w:pPr>
      <w:r w:rsidRPr="00245527">
        <w:rPr>
          <w:rStyle w:val="EndnoteReference"/>
          <w:rFonts w:ascii="Times New Roman" w:hAnsi="Times New Roman" w:cs="Times New Roman"/>
          <w:sz w:val="22"/>
          <w:szCs w:val="22"/>
        </w:rPr>
        <w:endnoteRef/>
      </w:r>
      <w:r w:rsidRPr="00245527">
        <w:rPr>
          <w:rFonts w:ascii="Times New Roman" w:hAnsi="Times New Roman" w:cs="Times New Roman"/>
          <w:sz w:val="22"/>
          <w:szCs w:val="22"/>
        </w:rPr>
        <w:t xml:space="preserve"> </w:t>
      </w:r>
      <w:r w:rsidRPr="00517040">
        <w:rPr>
          <w:rFonts w:ascii="Times New Roman" w:hAnsi="Times New Roman" w:cs="Times New Roman"/>
          <w:i/>
          <w:sz w:val="22"/>
          <w:szCs w:val="22"/>
        </w:rPr>
        <w:t>See</w:t>
      </w:r>
      <w:r w:rsidRPr="00245527">
        <w:rPr>
          <w:rFonts w:ascii="Times New Roman" w:hAnsi="Times New Roman" w:cs="Times New Roman"/>
          <w:sz w:val="22"/>
          <w:szCs w:val="22"/>
        </w:rPr>
        <w:t xml:space="preserve"> testimony of Lance McNeel, Tr</w:t>
      </w:r>
      <w:r>
        <w:rPr>
          <w:rFonts w:ascii="Times New Roman" w:hAnsi="Times New Roman" w:cs="Times New Roman"/>
          <w:sz w:val="22"/>
          <w:szCs w:val="22"/>
        </w:rPr>
        <w:t>.</w:t>
      </w:r>
      <w:r w:rsidRPr="00245527">
        <w:rPr>
          <w:rFonts w:ascii="Times New Roman" w:hAnsi="Times New Roman" w:cs="Times New Roman"/>
          <w:sz w:val="22"/>
          <w:szCs w:val="22"/>
        </w:rPr>
        <w:t xml:space="preserve"> at 356.  Mr. McNeel testified that, for both Reserve and </w:t>
      </w:r>
      <w:r w:rsidRPr="00A53D0F">
        <w:rPr>
          <w:rFonts w:ascii="Times New Roman" w:hAnsi="Times New Roman" w:cs="Times New Roman"/>
          <w:b/>
          <w:i/>
          <w:sz w:val="22"/>
          <w:szCs w:val="22"/>
        </w:rPr>
        <w:t>each other captive insurance company that was managed by Capstone</w:t>
      </w:r>
      <w:r w:rsidRPr="00245527">
        <w:rPr>
          <w:rFonts w:ascii="Times New Roman" w:hAnsi="Times New Roman" w:cs="Times New Roman"/>
          <w:sz w:val="22"/>
          <w:szCs w:val="22"/>
        </w:rPr>
        <w:t>, “it was [his] practice to get a pricing indication from a company like Mid-Continent” that was unique to each such captive.</w:t>
      </w:r>
      <w:r>
        <w:rPr>
          <w:rFonts w:ascii="Times New Roman" w:hAnsi="Times New Roman" w:cs="Times New Roman"/>
          <w:sz w:val="22"/>
          <w:szCs w:val="22"/>
        </w:rPr>
        <w:t xml:space="preserve">  (Emphasis added). </w:t>
      </w:r>
    </w:p>
    <w:p w14:paraId="129415F7" w14:textId="77777777" w:rsidR="00434620" w:rsidRPr="00245527" w:rsidRDefault="00434620">
      <w:pPr>
        <w:pStyle w:val="EndnoteText"/>
        <w:rPr>
          <w:rFonts w:ascii="Times New Roman" w:hAnsi="Times New Roman" w:cs="Times New Roman"/>
          <w:sz w:val="22"/>
          <w:szCs w:val="22"/>
        </w:rPr>
      </w:pPr>
    </w:p>
  </w:endnote>
  <w:endnote w:id="62">
    <w:p w14:paraId="561B56EE" w14:textId="460D6350" w:rsidR="00434620" w:rsidRDefault="00434620" w:rsidP="00D9764C">
      <w:pPr>
        <w:pStyle w:val="EndnoteText"/>
        <w:rPr>
          <w:rFonts w:ascii="Times New Roman" w:hAnsi="Times New Roman" w:cs="Times New Roman"/>
          <w:sz w:val="22"/>
          <w:szCs w:val="22"/>
        </w:rPr>
      </w:pPr>
      <w:r w:rsidRPr="00D9764C">
        <w:rPr>
          <w:rStyle w:val="EndnoteReference"/>
          <w:rFonts w:ascii="Times New Roman" w:hAnsi="Times New Roman" w:cs="Times New Roman"/>
          <w:sz w:val="22"/>
          <w:szCs w:val="22"/>
        </w:rPr>
        <w:endnoteRef/>
      </w:r>
      <w:r w:rsidRPr="00D9764C">
        <w:rPr>
          <w:rFonts w:ascii="Times New Roman" w:hAnsi="Times New Roman" w:cs="Times New Roman"/>
          <w:sz w:val="22"/>
          <w:szCs w:val="22"/>
        </w:rPr>
        <w:t xml:space="preserve"> </w:t>
      </w:r>
      <w:r w:rsidRPr="00517040">
        <w:rPr>
          <w:rFonts w:ascii="Times New Roman" w:hAnsi="Times New Roman" w:cs="Times New Roman"/>
          <w:i/>
          <w:sz w:val="22"/>
          <w:szCs w:val="22"/>
        </w:rPr>
        <w:t>See</w:t>
      </w:r>
      <w:r w:rsidRPr="00693C9A">
        <w:rPr>
          <w:rFonts w:ascii="Times New Roman" w:hAnsi="Times New Roman" w:cs="Times New Roman"/>
          <w:sz w:val="22"/>
          <w:szCs w:val="22"/>
        </w:rPr>
        <w:t xml:space="preserve"> testimony of Lance McNeel, Tr</w:t>
      </w:r>
      <w:r>
        <w:rPr>
          <w:rFonts w:ascii="Times New Roman" w:hAnsi="Times New Roman" w:cs="Times New Roman"/>
          <w:sz w:val="22"/>
          <w:szCs w:val="22"/>
        </w:rPr>
        <w:t>.</w:t>
      </w:r>
      <w:r w:rsidRPr="00693C9A">
        <w:rPr>
          <w:rFonts w:ascii="Times New Roman" w:hAnsi="Times New Roman" w:cs="Times New Roman"/>
          <w:sz w:val="22"/>
          <w:szCs w:val="22"/>
        </w:rPr>
        <w:t xml:space="preserve"> at </w:t>
      </w:r>
      <w:r>
        <w:rPr>
          <w:rFonts w:ascii="Times New Roman" w:hAnsi="Times New Roman" w:cs="Times New Roman"/>
          <w:sz w:val="22"/>
          <w:szCs w:val="22"/>
        </w:rPr>
        <w:t xml:space="preserve">356-366.  </w:t>
      </w:r>
      <w:r w:rsidRPr="00D9764C">
        <w:rPr>
          <w:rFonts w:ascii="Times New Roman" w:hAnsi="Times New Roman" w:cs="Times New Roman"/>
          <w:sz w:val="22"/>
          <w:szCs w:val="22"/>
        </w:rPr>
        <w:t>Mr. McNeel testified that the premium pricing for each type of coverage that was underwritten by Reserve Casualty Corp. for coverages provided to Peak Mechanical, as reflected on Exhibit 112-P (Reserve Casualty Corp. - Rating Worksheet for Peak Mechanical, Inc. for policy years 2008, 2009, and 2010), took into account multiple individual factors, including Reserve</w:t>
      </w:r>
      <w:r>
        <w:rPr>
          <w:rFonts w:ascii="Times New Roman" w:hAnsi="Times New Roman" w:cs="Times New Roman"/>
          <w:sz w:val="22"/>
          <w:szCs w:val="22"/>
        </w:rPr>
        <w:t>’</w:t>
      </w:r>
      <w:r w:rsidRPr="00D9764C">
        <w:rPr>
          <w:rFonts w:ascii="Times New Roman" w:hAnsi="Times New Roman" w:cs="Times New Roman"/>
          <w:sz w:val="22"/>
          <w:szCs w:val="22"/>
        </w:rPr>
        <w:t>s premium indications (received from Mid-Continent General Agency, Inc.), the applicable policy limit, the exposure basis (based on either the insured</w:t>
      </w:r>
      <w:r>
        <w:rPr>
          <w:rFonts w:ascii="Times New Roman" w:hAnsi="Times New Roman" w:cs="Times New Roman"/>
          <w:sz w:val="22"/>
          <w:szCs w:val="22"/>
        </w:rPr>
        <w:t>’</w:t>
      </w:r>
      <w:r w:rsidRPr="00D9764C">
        <w:rPr>
          <w:rFonts w:ascii="Times New Roman" w:hAnsi="Times New Roman" w:cs="Times New Roman"/>
          <w:sz w:val="22"/>
          <w:szCs w:val="22"/>
        </w:rPr>
        <w:t>s revenue or the insured</w:t>
      </w:r>
      <w:r>
        <w:rPr>
          <w:rFonts w:ascii="Times New Roman" w:hAnsi="Times New Roman" w:cs="Times New Roman"/>
          <w:sz w:val="22"/>
          <w:szCs w:val="22"/>
        </w:rPr>
        <w:t>’</w:t>
      </w:r>
      <w:r w:rsidRPr="00D9764C">
        <w:rPr>
          <w:rFonts w:ascii="Times New Roman" w:hAnsi="Times New Roman" w:cs="Times New Roman"/>
          <w:sz w:val="22"/>
          <w:szCs w:val="22"/>
        </w:rPr>
        <w:t xml:space="preserve">s number of employees), an increase limit factor, and the relevant policy period (i.e., whether the policy period was a short policy period or a full annual term policy period).  Mr. McNeel testified that a </w:t>
      </w:r>
      <w:r>
        <w:rPr>
          <w:rFonts w:ascii="Times New Roman" w:hAnsi="Times New Roman" w:cs="Times New Roman"/>
          <w:sz w:val="22"/>
          <w:szCs w:val="22"/>
        </w:rPr>
        <w:t>“</w:t>
      </w:r>
      <w:r w:rsidRPr="00D9764C">
        <w:rPr>
          <w:rFonts w:ascii="Times New Roman" w:hAnsi="Times New Roman" w:cs="Times New Roman"/>
          <w:sz w:val="22"/>
          <w:szCs w:val="22"/>
        </w:rPr>
        <w:t>pro rata premium</w:t>
      </w:r>
      <w:r>
        <w:rPr>
          <w:rFonts w:ascii="Times New Roman" w:hAnsi="Times New Roman" w:cs="Times New Roman"/>
          <w:sz w:val="22"/>
          <w:szCs w:val="22"/>
        </w:rPr>
        <w:t>”</w:t>
      </w:r>
      <w:r w:rsidRPr="00D9764C">
        <w:rPr>
          <w:rFonts w:ascii="Times New Roman" w:hAnsi="Times New Roman" w:cs="Times New Roman"/>
          <w:sz w:val="22"/>
          <w:szCs w:val="22"/>
        </w:rPr>
        <w:t xml:space="preserve"> was calculated using the rating worksheet for each coverage after</w:t>
      </w:r>
      <w:r>
        <w:rPr>
          <w:rFonts w:ascii="Times New Roman" w:hAnsi="Times New Roman" w:cs="Times New Roman"/>
          <w:sz w:val="22"/>
          <w:szCs w:val="22"/>
        </w:rPr>
        <w:t xml:space="preserve"> considering </w:t>
      </w:r>
      <w:r w:rsidRPr="00D9764C">
        <w:rPr>
          <w:rFonts w:ascii="Times New Roman" w:hAnsi="Times New Roman" w:cs="Times New Roman"/>
          <w:sz w:val="22"/>
          <w:szCs w:val="22"/>
        </w:rPr>
        <w:t>these factors.</w:t>
      </w:r>
    </w:p>
    <w:p w14:paraId="7EA27A00" w14:textId="77777777" w:rsidR="00434620" w:rsidRPr="00D9764C" w:rsidRDefault="00434620" w:rsidP="00D9764C">
      <w:pPr>
        <w:pStyle w:val="EndnoteText"/>
        <w:rPr>
          <w:rFonts w:ascii="Times New Roman" w:hAnsi="Times New Roman" w:cs="Times New Roman"/>
          <w:sz w:val="22"/>
          <w:szCs w:val="22"/>
        </w:rPr>
      </w:pPr>
    </w:p>
  </w:endnote>
  <w:endnote w:id="63">
    <w:p w14:paraId="71E2DD1F" w14:textId="77777777" w:rsidR="00434620" w:rsidRDefault="00434620" w:rsidP="00DD24CC">
      <w:pPr>
        <w:pStyle w:val="EndnoteText"/>
        <w:rPr>
          <w:rFonts w:ascii="Times New Roman" w:hAnsi="Times New Roman" w:cs="Times New Roman"/>
          <w:sz w:val="22"/>
          <w:szCs w:val="22"/>
        </w:rPr>
      </w:pPr>
      <w:r w:rsidRPr="009D1F5B">
        <w:rPr>
          <w:rStyle w:val="EndnoteReference"/>
          <w:rFonts w:ascii="Times New Roman" w:hAnsi="Times New Roman" w:cs="Times New Roman"/>
          <w:sz w:val="22"/>
          <w:szCs w:val="22"/>
        </w:rPr>
        <w:endnoteRef/>
      </w:r>
      <w:r w:rsidRPr="009D1F5B">
        <w:rPr>
          <w:rFonts w:ascii="Times New Roman" w:hAnsi="Times New Roman" w:cs="Times New Roman"/>
          <w:sz w:val="22"/>
          <w:szCs w:val="22"/>
        </w:rPr>
        <w:t xml:space="preserve"> </w:t>
      </w:r>
      <w:r>
        <w:rPr>
          <w:rFonts w:ascii="Times New Roman" w:hAnsi="Times New Roman" w:cs="Times New Roman"/>
          <w:sz w:val="22"/>
          <w:szCs w:val="22"/>
        </w:rPr>
        <w:t xml:space="preserve">The Court refused to </w:t>
      </w:r>
      <w:r w:rsidRPr="00CD1FA4">
        <w:rPr>
          <w:rFonts w:ascii="Times New Roman" w:hAnsi="Times New Roman" w:cs="Times New Roman"/>
          <w:sz w:val="22"/>
          <w:szCs w:val="22"/>
        </w:rPr>
        <w:t>recognize the validity of a pool of contractual liability insurance policies that were issued by a publicly held insurer (Lyndon) or the existence of the related coinsurance contracts whereby Lyndon ceded a portion of the underlying pooled risk to PoolRe.  At page 47 of the Opinion, the Court concluded as follows: “On the basis of the relevant facts and circumstances we conclude that the coinsurance contracts were not bona fide reinsurance agreements. Reserve has not established that the contracts underlying the purported reinsurance transactions existed or that the transactions involved actual risk.”  Yet there was no challenge by the government to the evidence presented by Reserve of the reinsurance contracts, which referenced the underlying Lyndon insurance contracts.  This evidence was admitted at trial, and the government did not object to the admission of such evidence or call for a “best evidence challenge” or demand that the 100,000+ individual contracts be admitted rather than the reinsurance contracts that referenced the underlying insurance contracts.</w:t>
      </w:r>
    </w:p>
    <w:p w14:paraId="2749E759" w14:textId="77777777" w:rsidR="00434620" w:rsidRPr="009679F8" w:rsidRDefault="00434620">
      <w:pPr>
        <w:pStyle w:val="EndnoteText"/>
        <w:rPr>
          <w:rFonts w:ascii="Times New Roman" w:hAnsi="Times New Roman" w:cs="Times New Roman"/>
          <w:sz w:val="22"/>
          <w:szCs w:val="22"/>
        </w:rPr>
      </w:pPr>
    </w:p>
  </w:endnote>
  <w:endnote w:id="64">
    <w:p w14:paraId="593D0930" w14:textId="6D061195" w:rsidR="00434620" w:rsidRPr="00F428FA" w:rsidRDefault="00434620" w:rsidP="00810AB9">
      <w:pPr>
        <w:pStyle w:val="EndnoteText"/>
        <w:rPr>
          <w:rFonts w:ascii="Times New Roman" w:hAnsi="Times New Roman" w:cs="Times New Roman"/>
          <w:sz w:val="22"/>
          <w:szCs w:val="22"/>
        </w:rPr>
      </w:pPr>
      <w:r w:rsidRPr="009679F8">
        <w:rPr>
          <w:rStyle w:val="EndnoteReference"/>
          <w:rFonts w:ascii="Times New Roman" w:hAnsi="Times New Roman" w:cs="Times New Roman"/>
          <w:sz w:val="22"/>
          <w:szCs w:val="22"/>
        </w:rPr>
        <w:endnoteRef/>
      </w:r>
      <w:r w:rsidRPr="009679F8">
        <w:rPr>
          <w:rFonts w:ascii="Times New Roman" w:hAnsi="Times New Roman" w:cs="Times New Roman"/>
          <w:sz w:val="22"/>
          <w:szCs w:val="22"/>
        </w:rPr>
        <w:t xml:space="preserve"> </w:t>
      </w:r>
      <w:r w:rsidRPr="00660D0E">
        <w:rPr>
          <w:rFonts w:ascii="Times New Roman" w:hAnsi="Times New Roman" w:cs="Times New Roman"/>
          <w:sz w:val="22"/>
          <w:szCs w:val="22"/>
        </w:rPr>
        <w:t xml:space="preserve">The </w:t>
      </w:r>
      <w:r>
        <w:rPr>
          <w:rFonts w:ascii="Times New Roman" w:hAnsi="Times New Roman" w:cs="Times New Roman"/>
          <w:sz w:val="22"/>
          <w:szCs w:val="22"/>
        </w:rPr>
        <w:t xml:space="preserve">only </w:t>
      </w:r>
      <w:r w:rsidRPr="00660D0E">
        <w:rPr>
          <w:rFonts w:ascii="Times New Roman" w:hAnsi="Times New Roman" w:cs="Times New Roman"/>
          <w:sz w:val="22"/>
          <w:szCs w:val="22"/>
        </w:rPr>
        <w:t>testimony regarding the existence of these coinsurance contracts was from actuary Gary Fagg who negotiat</w:t>
      </w:r>
      <w:r>
        <w:rPr>
          <w:rFonts w:ascii="Times New Roman" w:hAnsi="Times New Roman" w:cs="Times New Roman"/>
          <w:sz w:val="22"/>
          <w:szCs w:val="22"/>
        </w:rPr>
        <w:t xml:space="preserve">ed </w:t>
      </w:r>
      <w:r w:rsidRPr="00660D0E">
        <w:rPr>
          <w:rFonts w:ascii="Times New Roman" w:hAnsi="Times New Roman" w:cs="Times New Roman"/>
          <w:sz w:val="22"/>
          <w:szCs w:val="22"/>
        </w:rPr>
        <w:t>and administer</w:t>
      </w:r>
      <w:r>
        <w:rPr>
          <w:rFonts w:ascii="Times New Roman" w:hAnsi="Times New Roman" w:cs="Times New Roman"/>
          <w:sz w:val="22"/>
          <w:szCs w:val="22"/>
        </w:rPr>
        <w:t xml:space="preserve">ed </w:t>
      </w:r>
      <w:r w:rsidRPr="00660D0E">
        <w:rPr>
          <w:rFonts w:ascii="Times New Roman" w:hAnsi="Times New Roman" w:cs="Times New Roman"/>
          <w:sz w:val="22"/>
          <w:szCs w:val="22"/>
        </w:rPr>
        <w:t>this entire reinsurance arrangement and calculat</w:t>
      </w:r>
      <w:r>
        <w:rPr>
          <w:rFonts w:ascii="Times New Roman" w:hAnsi="Times New Roman" w:cs="Times New Roman"/>
          <w:sz w:val="22"/>
          <w:szCs w:val="22"/>
        </w:rPr>
        <w:t xml:space="preserve">ed </w:t>
      </w:r>
      <w:r w:rsidRPr="00660D0E">
        <w:rPr>
          <w:rFonts w:ascii="Times New Roman" w:hAnsi="Times New Roman" w:cs="Times New Roman"/>
          <w:sz w:val="22"/>
          <w:szCs w:val="22"/>
        </w:rPr>
        <w:t xml:space="preserve">the pro rata share of risk that was transferred to PoolRe for multiple years, including the years at issue.  </w:t>
      </w:r>
      <w:r w:rsidRPr="00517040">
        <w:rPr>
          <w:rFonts w:ascii="Times New Roman" w:hAnsi="Times New Roman" w:cs="Times New Roman"/>
          <w:i/>
          <w:sz w:val="22"/>
          <w:szCs w:val="22"/>
        </w:rPr>
        <w:t>See</w:t>
      </w:r>
      <w:r w:rsidRPr="00660D0E">
        <w:rPr>
          <w:rFonts w:ascii="Times New Roman" w:hAnsi="Times New Roman" w:cs="Times New Roman"/>
          <w:sz w:val="22"/>
          <w:szCs w:val="22"/>
        </w:rPr>
        <w:t xml:space="preserve"> testimony of Gary Fagg, Tr</w:t>
      </w:r>
      <w:r>
        <w:rPr>
          <w:rFonts w:ascii="Times New Roman" w:hAnsi="Times New Roman" w:cs="Times New Roman"/>
          <w:sz w:val="22"/>
          <w:szCs w:val="22"/>
        </w:rPr>
        <w:t>.</w:t>
      </w:r>
      <w:r w:rsidRPr="00660D0E">
        <w:rPr>
          <w:rFonts w:ascii="Times New Roman" w:hAnsi="Times New Roman" w:cs="Times New Roman"/>
          <w:sz w:val="22"/>
          <w:szCs w:val="22"/>
        </w:rPr>
        <w:t xml:space="preserve"> at 442-447 and Exhibit 52</w:t>
      </w:r>
      <w:r w:rsidRPr="00F428FA">
        <w:rPr>
          <w:rFonts w:ascii="Times New Roman" w:hAnsi="Times New Roman" w:cs="Times New Roman"/>
          <w:sz w:val="22"/>
          <w:szCs w:val="22"/>
        </w:rPr>
        <w:t>-J (Credit Insurance Coinsurance Contract Issued to PoolRe Insurance Corp. by Reserve CC effective November 26, 2008).</w:t>
      </w:r>
    </w:p>
    <w:p w14:paraId="159657B3" w14:textId="77777777" w:rsidR="00434620" w:rsidRPr="00F428FA" w:rsidRDefault="00434620">
      <w:pPr>
        <w:pStyle w:val="EndnoteText"/>
        <w:rPr>
          <w:rFonts w:ascii="Times New Roman" w:hAnsi="Times New Roman" w:cs="Times New Roman"/>
          <w:sz w:val="22"/>
          <w:szCs w:val="22"/>
        </w:rPr>
      </w:pPr>
    </w:p>
  </w:endnote>
  <w:endnote w:id="65">
    <w:p w14:paraId="43AF18A9" w14:textId="0FADDB16" w:rsidR="00434620" w:rsidRDefault="00434620" w:rsidP="00F428FA">
      <w:pPr>
        <w:pStyle w:val="EndnoteText"/>
        <w:rPr>
          <w:rFonts w:ascii="Times New Roman" w:hAnsi="Times New Roman" w:cs="Times New Roman"/>
          <w:sz w:val="22"/>
          <w:szCs w:val="22"/>
        </w:rPr>
      </w:pPr>
      <w:r w:rsidRPr="00F428FA">
        <w:rPr>
          <w:rStyle w:val="EndnoteReference"/>
          <w:rFonts w:ascii="Times New Roman" w:hAnsi="Times New Roman" w:cs="Times New Roman"/>
          <w:sz w:val="22"/>
          <w:szCs w:val="22"/>
        </w:rPr>
        <w:endnoteRef/>
      </w:r>
      <w:r w:rsidRPr="00F428FA">
        <w:rPr>
          <w:rFonts w:ascii="Times New Roman" w:hAnsi="Times New Roman" w:cs="Times New Roman"/>
          <w:sz w:val="22"/>
          <w:szCs w:val="22"/>
        </w:rPr>
        <w:t xml:space="preserve"> </w:t>
      </w:r>
      <w:r w:rsidRPr="00517040">
        <w:rPr>
          <w:rFonts w:ascii="Times New Roman" w:hAnsi="Times New Roman" w:cs="Times New Roman"/>
          <w:i/>
          <w:sz w:val="22"/>
          <w:szCs w:val="22"/>
        </w:rPr>
        <w:t>See</w:t>
      </w:r>
      <w:r>
        <w:rPr>
          <w:rFonts w:ascii="Times New Roman" w:hAnsi="Times New Roman" w:cs="Times New Roman"/>
          <w:sz w:val="22"/>
          <w:szCs w:val="22"/>
        </w:rPr>
        <w:t xml:space="preserve"> </w:t>
      </w:r>
      <w:r w:rsidRPr="00C12715">
        <w:rPr>
          <w:rFonts w:ascii="Times New Roman" w:hAnsi="Times New Roman" w:cs="Times New Roman"/>
          <w:sz w:val="22"/>
          <w:szCs w:val="22"/>
        </w:rPr>
        <w:t>Exhibit 104-P (Expert Report of Dr. Neil Doherty, March 27, 2017), page</w:t>
      </w:r>
      <w:r>
        <w:rPr>
          <w:rFonts w:ascii="Times New Roman" w:hAnsi="Times New Roman" w:cs="Times New Roman"/>
          <w:sz w:val="22"/>
          <w:szCs w:val="22"/>
        </w:rPr>
        <w:t xml:space="preserve"> </w:t>
      </w:r>
      <w:r w:rsidRPr="00C12715">
        <w:rPr>
          <w:rFonts w:ascii="Times New Roman" w:hAnsi="Times New Roman" w:cs="Times New Roman"/>
          <w:sz w:val="22"/>
          <w:szCs w:val="22"/>
        </w:rPr>
        <w:t>15</w:t>
      </w:r>
      <w:r>
        <w:rPr>
          <w:rFonts w:ascii="Times New Roman" w:hAnsi="Times New Roman" w:cs="Times New Roman"/>
          <w:sz w:val="22"/>
          <w:szCs w:val="22"/>
        </w:rPr>
        <w:t>, where Dr. Doherty stated as follows:</w:t>
      </w:r>
      <w:r w:rsidRPr="00C12715">
        <w:rPr>
          <w:rFonts w:ascii="Times New Roman" w:hAnsi="Times New Roman" w:cs="Times New Roman"/>
          <w:sz w:val="22"/>
          <w:szCs w:val="22"/>
        </w:rPr>
        <w:t xml:space="preserve"> </w:t>
      </w:r>
      <w:r>
        <w:rPr>
          <w:rFonts w:ascii="Times New Roman" w:hAnsi="Times New Roman" w:cs="Times New Roman"/>
          <w:sz w:val="22"/>
          <w:szCs w:val="22"/>
        </w:rPr>
        <w:t>“</w:t>
      </w:r>
      <w:r w:rsidRPr="00F428FA">
        <w:rPr>
          <w:rFonts w:ascii="Times New Roman" w:hAnsi="Times New Roman" w:cs="Times New Roman"/>
          <w:sz w:val="22"/>
          <w:szCs w:val="22"/>
        </w:rPr>
        <w:t>In the second part of the Capstone program, the captives of the various members assume more</w:t>
      </w:r>
      <w:r>
        <w:rPr>
          <w:rFonts w:ascii="Times New Roman" w:hAnsi="Times New Roman" w:cs="Times New Roman"/>
          <w:sz w:val="22"/>
          <w:szCs w:val="22"/>
        </w:rPr>
        <w:t xml:space="preserve"> </w:t>
      </w:r>
      <w:r w:rsidRPr="00F428FA">
        <w:rPr>
          <w:rFonts w:ascii="Times New Roman" w:hAnsi="Times New Roman" w:cs="Times New Roman"/>
          <w:sz w:val="22"/>
          <w:szCs w:val="22"/>
        </w:rPr>
        <w:t>unrelated insurance under a second reinsurance program between PoolRe, and a unrelated</w:t>
      </w:r>
      <w:r>
        <w:rPr>
          <w:rFonts w:ascii="Times New Roman" w:hAnsi="Times New Roman" w:cs="Times New Roman"/>
          <w:sz w:val="22"/>
          <w:szCs w:val="22"/>
        </w:rPr>
        <w:t xml:space="preserve"> </w:t>
      </w:r>
      <w:r w:rsidRPr="00F428FA">
        <w:rPr>
          <w:rFonts w:ascii="Times New Roman" w:hAnsi="Times New Roman" w:cs="Times New Roman"/>
          <w:sz w:val="22"/>
          <w:szCs w:val="22"/>
        </w:rPr>
        <w:t>reinsurer, Credit Re as depicted in Figure 2 attached. Credit Re reinsures a form of contractual</w:t>
      </w:r>
      <w:r>
        <w:rPr>
          <w:rFonts w:ascii="Times New Roman" w:hAnsi="Times New Roman" w:cs="Times New Roman"/>
          <w:sz w:val="22"/>
          <w:szCs w:val="22"/>
        </w:rPr>
        <w:t xml:space="preserve"> </w:t>
      </w:r>
      <w:r w:rsidRPr="00F428FA">
        <w:rPr>
          <w:rFonts w:ascii="Times New Roman" w:hAnsi="Times New Roman" w:cs="Times New Roman"/>
          <w:sz w:val="22"/>
          <w:szCs w:val="22"/>
        </w:rPr>
        <w:t>liability risk</w:t>
      </w:r>
      <w:r>
        <w:rPr>
          <w:rFonts w:ascii="Times New Roman" w:hAnsi="Times New Roman" w:cs="Times New Roman"/>
          <w:sz w:val="22"/>
          <w:szCs w:val="22"/>
        </w:rPr>
        <w:t xml:space="preserve"> </w:t>
      </w:r>
      <w:r w:rsidRPr="00F428FA">
        <w:rPr>
          <w:rFonts w:ascii="Times New Roman" w:hAnsi="Times New Roman" w:cs="Times New Roman"/>
          <w:sz w:val="22"/>
          <w:szCs w:val="22"/>
        </w:rPr>
        <w:t>associated with vehicle service contracts and writes many thousands of policies.</w:t>
      </w:r>
      <w:r>
        <w:rPr>
          <w:rFonts w:ascii="Times New Roman" w:hAnsi="Times New Roman" w:cs="Times New Roman"/>
          <w:sz w:val="22"/>
          <w:szCs w:val="22"/>
        </w:rPr>
        <w:t xml:space="preserve">  </w:t>
      </w:r>
      <w:r w:rsidRPr="00F428FA">
        <w:rPr>
          <w:rFonts w:ascii="Times New Roman" w:hAnsi="Times New Roman" w:cs="Times New Roman"/>
          <w:sz w:val="22"/>
          <w:szCs w:val="22"/>
        </w:rPr>
        <w:t>The risk exposure on these policies is unrelated to the Capstone participating companies. The</w:t>
      </w:r>
      <w:r>
        <w:rPr>
          <w:rFonts w:ascii="Times New Roman" w:hAnsi="Times New Roman" w:cs="Times New Roman"/>
          <w:sz w:val="22"/>
          <w:szCs w:val="22"/>
        </w:rPr>
        <w:t xml:space="preserve"> </w:t>
      </w:r>
      <w:r w:rsidRPr="00F428FA">
        <w:rPr>
          <w:rFonts w:ascii="Times New Roman" w:hAnsi="Times New Roman" w:cs="Times New Roman"/>
          <w:sz w:val="22"/>
          <w:szCs w:val="22"/>
        </w:rPr>
        <w:t>overall pool of exposures assumed by PoolRe is then reinsured on a proportional (quota share)</w:t>
      </w:r>
      <w:r>
        <w:rPr>
          <w:rFonts w:ascii="Times New Roman" w:hAnsi="Times New Roman" w:cs="Times New Roman"/>
          <w:sz w:val="22"/>
          <w:szCs w:val="22"/>
        </w:rPr>
        <w:t xml:space="preserve"> </w:t>
      </w:r>
      <w:r w:rsidRPr="00F428FA">
        <w:rPr>
          <w:rFonts w:ascii="Times New Roman" w:hAnsi="Times New Roman" w:cs="Times New Roman"/>
          <w:sz w:val="22"/>
          <w:szCs w:val="22"/>
        </w:rPr>
        <w:t>basis with more than 50 captive insurers.</w:t>
      </w:r>
      <w:r>
        <w:rPr>
          <w:rFonts w:ascii="Times New Roman" w:hAnsi="Times New Roman" w:cs="Times New Roman"/>
          <w:sz w:val="22"/>
          <w:szCs w:val="22"/>
        </w:rPr>
        <w:t>”</w:t>
      </w:r>
    </w:p>
    <w:p w14:paraId="2F51F2CC" w14:textId="77777777" w:rsidR="00434620" w:rsidRPr="00F428FA" w:rsidRDefault="00434620">
      <w:pPr>
        <w:pStyle w:val="EndnoteText"/>
        <w:rPr>
          <w:rFonts w:ascii="Times New Roman" w:hAnsi="Times New Roman" w:cs="Times New Roman"/>
          <w:sz w:val="22"/>
          <w:szCs w:val="22"/>
        </w:rPr>
      </w:pPr>
    </w:p>
  </w:endnote>
  <w:endnote w:id="66">
    <w:p w14:paraId="75DC490F" w14:textId="77777777" w:rsidR="00434620" w:rsidRDefault="00434620">
      <w:pPr>
        <w:pStyle w:val="EndnoteText"/>
        <w:rPr>
          <w:rFonts w:ascii="Times New Roman" w:hAnsi="Times New Roman" w:cs="Times New Roman"/>
          <w:sz w:val="22"/>
          <w:szCs w:val="22"/>
        </w:rPr>
      </w:pPr>
      <w:r w:rsidRPr="00E24EB7">
        <w:rPr>
          <w:rStyle w:val="EndnoteReference"/>
          <w:rFonts w:ascii="Times New Roman" w:hAnsi="Times New Roman" w:cs="Times New Roman"/>
          <w:sz w:val="22"/>
          <w:szCs w:val="22"/>
        </w:rPr>
        <w:endnoteRef/>
      </w:r>
      <w:r w:rsidRPr="00E24EB7">
        <w:rPr>
          <w:rFonts w:ascii="Times New Roman" w:hAnsi="Times New Roman" w:cs="Times New Roman"/>
          <w:sz w:val="22"/>
          <w:szCs w:val="22"/>
        </w:rPr>
        <w:t xml:space="preserve"> In Rev. Rul. 2009</w:t>
      </w:r>
      <w:r w:rsidRPr="002663CD">
        <w:rPr>
          <w:rFonts w:ascii="Times New Roman" w:hAnsi="Times New Roman" w:cs="Times New Roman"/>
          <w:sz w:val="22"/>
          <w:szCs w:val="22"/>
        </w:rPr>
        <w:t>-26, the IRS ruled that risk distribution is analyzed by looking through to the underlying risks that are reinsured, which may be assumed under a contractual arrangement</w:t>
      </w:r>
      <w:r>
        <w:rPr>
          <w:rFonts w:ascii="Times New Roman" w:hAnsi="Times New Roman" w:cs="Times New Roman"/>
          <w:sz w:val="22"/>
          <w:szCs w:val="22"/>
        </w:rPr>
        <w:t xml:space="preserve">.  That is, there was no requirement imposed that the risks must have flowed through or originated as risks of a “bona fide insurance company.”  The IRS </w:t>
      </w:r>
      <w:r w:rsidRPr="00725FA2">
        <w:rPr>
          <w:rFonts w:ascii="Times New Roman" w:hAnsi="Times New Roman" w:cs="Times New Roman"/>
          <w:sz w:val="22"/>
          <w:szCs w:val="22"/>
        </w:rPr>
        <w:t xml:space="preserve">has also issued two </w:t>
      </w:r>
      <w:r>
        <w:rPr>
          <w:rFonts w:ascii="Times New Roman" w:hAnsi="Times New Roman" w:cs="Times New Roman"/>
          <w:sz w:val="22"/>
          <w:szCs w:val="22"/>
        </w:rPr>
        <w:t>private letter rulings, PLR</w:t>
      </w:r>
      <w:r w:rsidRPr="00725FA2">
        <w:rPr>
          <w:rFonts w:ascii="Times New Roman" w:hAnsi="Times New Roman" w:cs="Times New Roman"/>
          <w:sz w:val="22"/>
          <w:szCs w:val="22"/>
        </w:rPr>
        <w:t xml:space="preserve"> 201219011 (May 11, 2012) and </w:t>
      </w:r>
      <w:r>
        <w:rPr>
          <w:rFonts w:ascii="Times New Roman" w:hAnsi="Times New Roman" w:cs="Times New Roman"/>
          <w:sz w:val="22"/>
          <w:szCs w:val="22"/>
        </w:rPr>
        <w:t xml:space="preserve">PLR </w:t>
      </w:r>
      <w:r w:rsidRPr="00725FA2">
        <w:rPr>
          <w:rFonts w:ascii="Times New Roman" w:hAnsi="Times New Roman" w:cs="Times New Roman"/>
          <w:sz w:val="22"/>
          <w:szCs w:val="22"/>
        </w:rPr>
        <w:t>201224018 (Jun. 15, 2012)</w:t>
      </w:r>
      <w:r>
        <w:rPr>
          <w:rFonts w:ascii="Times New Roman" w:hAnsi="Times New Roman" w:cs="Times New Roman"/>
          <w:sz w:val="22"/>
          <w:szCs w:val="22"/>
        </w:rPr>
        <w:t xml:space="preserve">, whereby the IRS </w:t>
      </w:r>
      <w:bookmarkStart w:id="20" w:name="_Hlk525296221"/>
      <w:r w:rsidRPr="00725FA2">
        <w:rPr>
          <w:rFonts w:ascii="Times New Roman" w:hAnsi="Times New Roman" w:cs="Times New Roman"/>
          <w:sz w:val="22"/>
          <w:szCs w:val="22"/>
        </w:rPr>
        <w:t xml:space="preserve">approved the use of quota share pooling arrangements to </w:t>
      </w:r>
      <w:r w:rsidRPr="004153DF">
        <w:rPr>
          <w:rFonts w:ascii="Times New Roman" w:hAnsi="Times New Roman" w:cs="Times New Roman"/>
          <w:sz w:val="22"/>
          <w:szCs w:val="22"/>
        </w:rPr>
        <w:t>blend risks</w:t>
      </w:r>
      <w:bookmarkEnd w:id="20"/>
      <w:r w:rsidRPr="004153DF">
        <w:rPr>
          <w:rFonts w:ascii="Times New Roman" w:hAnsi="Times New Roman" w:cs="Times New Roman"/>
          <w:sz w:val="22"/>
          <w:szCs w:val="22"/>
        </w:rPr>
        <w:t xml:space="preserve"> where the premiums ceded were roughly equivalent to the premiums for the blended risk assumed.  In </w:t>
      </w:r>
      <w:r>
        <w:rPr>
          <w:rFonts w:ascii="Times New Roman" w:hAnsi="Times New Roman" w:cs="Times New Roman"/>
          <w:sz w:val="22"/>
          <w:szCs w:val="22"/>
        </w:rPr>
        <w:t xml:space="preserve">both </w:t>
      </w:r>
      <w:r w:rsidRPr="00C10BC1">
        <w:rPr>
          <w:rFonts w:ascii="Times New Roman" w:hAnsi="Times New Roman" w:cs="Times New Roman"/>
          <w:sz w:val="22"/>
          <w:szCs w:val="22"/>
        </w:rPr>
        <w:t>PLR</w:t>
      </w:r>
      <w:r>
        <w:rPr>
          <w:rFonts w:ascii="Times New Roman" w:hAnsi="Times New Roman" w:cs="Times New Roman"/>
          <w:sz w:val="22"/>
          <w:szCs w:val="22"/>
        </w:rPr>
        <w:t>s, the c</w:t>
      </w:r>
      <w:r w:rsidRPr="004153DF">
        <w:rPr>
          <w:rFonts w:ascii="Times New Roman" w:hAnsi="Times New Roman" w:cs="Times New Roman"/>
          <w:sz w:val="22"/>
          <w:szCs w:val="22"/>
        </w:rPr>
        <w:t>ompany</w:t>
      </w:r>
      <w:r>
        <w:rPr>
          <w:rFonts w:ascii="Times New Roman" w:hAnsi="Times New Roman" w:cs="Times New Roman"/>
          <w:sz w:val="22"/>
          <w:szCs w:val="22"/>
        </w:rPr>
        <w:t xml:space="preserve"> that requested the ruling</w:t>
      </w:r>
      <w:r w:rsidRPr="004153DF">
        <w:rPr>
          <w:rFonts w:ascii="Times New Roman" w:hAnsi="Times New Roman" w:cs="Times New Roman"/>
          <w:sz w:val="22"/>
          <w:szCs w:val="22"/>
        </w:rPr>
        <w:t>, as a direct writer, receive</w:t>
      </w:r>
      <w:r>
        <w:rPr>
          <w:rFonts w:ascii="Times New Roman" w:hAnsi="Times New Roman" w:cs="Times New Roman"/>
          <w:sz w:val="22"/>
          <w:szCs w:val="22"/>
        </w:rPr>
        <w:t>d</w:t>
      </w:r>
      <w:r w:rsidRPr="004153DF">
        <w:rPr>
          <w:rFonts w:ascii="Times New Roman" w:hAnsi="Times New Roman" w:cs="Times New Roman"/>
          <w:sz w:val="22"/>
          <w:szCs w:val="22"/>
        </w:rPr>
        <w:t xml:space="preserve"> premiums from its insured </w:t>
      </w:r>
      <w:r>
        <w:rPr>
          <w:rFonts w:ascii="Times New Roman" w:hAnsi="Times New Roman" w:cs="Times New Roman"/>
          <w:sz w:val="22"/>
          <w:szCs w:val="22"/>
        </w:rPr>
        <w:t>and, pursuant to a c</w:t>
      </w:r>
      <w:r w:rsidRPr="004153DF">
        <w:rPr>
          <w:rFonts w:ascii="Times New Roman" w:hAnsi="Times New Roman" w:cs="Times New Roman"/>
          <w:sz w:val="22"/>
          <w:szCs w:val="22"/>
        </w:rPr>
        <w:t xml:space="preserve">oinsurance </w:t>
      </w:r>
      <w:r>
        <w:rPr>
          <w:rFonts w:ascii="Times New Roman" w:hAnsi="Times New Roman" w:cs="Times New Roman"/>
          <w:sz w:val="22"/>
          <w:szCs w:val="22"/>
        </w:rPr>
        <w:t>a</w:t>
      </w:r>
      <w:r w:rsidRPr="004153DF">
        <w:rPr>
          <w:rFonts w:ascii="Times New Roman" w:hAnsi="Times New Roman" w:cs="Times New Roman"/>
          <w:sz w:val="22"/>
          <w:szCs w:val="22"/>
        </w:rPr>
        <w:t>greement</w:t>
      </w:r>
      <w:r>
        <w:rPr>
          <w:rFonts w:ascii="Times New Roman" w:hAnsi="Times New Roman" w:cs="Times New Roman"/>
          <w:sz w:val="22"/>
          <w:szCs w:val="22"/>
        </w:rPr>
        <w:t xml:space="preserve">, </w:t>
      </w:r>
      <w:r w:rsidRPr="004153DF">
        <w:rPr>
          <w:rFonts w:ascii="Times New Roman" w:hAnsi="Times New Roman" w:cs="Times New Roman"/>
          <w:sz w:val="22"/>
          <w:szCs w:val="22"/>
        </w:rPr>
        <w:t>it cede</w:t>
      </w:r>
      <w:r>
        <w:rPr>
          <w:rFonts w:ascii="Times New Roman" w:hAnsi="Times New Roman" w:cs="Times New Roman"/>
          <w:sz w:val="22"/>
          <w:szCs w:val="22"/>
        </w:rPr>
        <w:t>d</w:t>
      </w:r>
      <w:r w:rsidRPr="004153DF">
        <w:rPr>
          <w:rFonts w:ascii="Times New Roman" w:hAnsi="Times New Roman" w:cs="Times New Roman"/>
          <w:sz w:val="22"/>
          <w:szCs w:val="22"/>
        </w:rPr>
        <w:t xml:space="preserve"> </w:t>
      </w:r>
      <w:r>
        <w:rPr>
          <w:rFonts w:ascii="Times New Roman" w:hAnsi="Times New Roman" w:cs="Times New Roman"/>
          <w:sz w:val="22"/>
          <w:szCs w:val="22"/>
        </w:rPr>
        <w:t>a quota share</w:t>
      </w:r>
      <w:r w:rsidRPr="004153DF">
        <w:rPr>
          <w:rFonts w:ascii="Times New Roman" w:hAnsi="Times New Roman" w:cs="Times New Roman"/>
          <w:sz w:val="22"/>
          <w:szCs w:val="22"/>
        </w:rPr>
        <w:t xml:space="preserve"> percent</w:t>
      </w:r>
      <w:r>
        <w:rPr>
          <w:rFonts w:ascii="Times New Roman" w:hAnsi="Times New Roman" w:cs="Times New Roman"/>
          <w:sz w:val="22"/>
          <w:szCs w:val="22"/>
        </w:rPr>
        <w:t>age</w:t>
      </w:r>
      <w:r w:rsidRPr="004153DF">
        <w:rPr>
          <w:rFonts w:ascii="Times New Roman" w:hAnsi="Times New Roman" w:cs="Times New Roman"/>
          <w:sz w:val="22"/>
          <w:szCs w:val="22"/>
        </w:rPr>
        <w:t xml:space="preserve"> of these directly written premiums to </w:t>
      </w:r>
      <w:r>
        <w:rPr>
          <w:rFonts w:ascii="Times New Roman" w:hAnsi="Times New Roman" w:cs="Times New Roman"/>
          <w:sz w:val="22"/>
          <w:szCs w:val="22"/>
        </w:rPr>
        <w:t>a</w:t>
      </w:r>
      <w:r w:rsidRPr="004153DF">
        <w:rPr>
          <w:rFonts w:ascii="Times New Roman" w:hAnsi="Times New Roman" w:cs="Times New Roman"/>
          <w:sz w:val="22"/>
          <w:szCs w:val="22"/>
        </w:rPr>
        <w:t xml:space="preserve"> reinsurance pool. </w:t>
      </w:r>
      <w:r w:rsidRPr="00922BA9">
        <w:rPr>
          <w:rFonts w:ascii="Times New Roman" w:hAnsi="Times New Roman" w:cs="Times New Roman"/>
          <w:i/>
          <w:sz w:val="22"/>
          <w:szCs w:val="22"/>
        </w:rPr>
        <w:t>The company then assumed a quota share of the premiums from the reinsurance pool which were roughly equivalent in dollar terms to the amount it ceded on each line of insurance.</w:t>
      </w:r>
      <w:r w:rsidRPr="004153DF">
        <w:rPr>
          <w:rFonts w:ascii="Times New Roman" w:hAnsi="Times New Roman" w:cs="Times New Roman"/>
          <w:sz w:val="22"/>
          <w:szCs w:val="22"/>
        </w:rPr>
        <w:t xml:space="preserve"> </w:t>
      </w:r>
      <w:r>
        <w:rPr>
          <w:rFonts w:ascii="Times New Roman" w:hAnsi="Times New Roman" w:cs="Times New Roman"/>
          <w:sz w:val="22"/>
          <w:szCs w:val="22"/>
        </w:rPr>
        <w:t xml:space="preserve"> The IRS ruled that </w:t>
      </w:r>
      <w:r w:rsidRPr="00C03845">
        <w:rPr>
          <w:rFonts w:ascii="Times New Roman" w:hAnsi="Times New Roman" w:cs="Times New Roman"/>
          <w:sz w:val="22"/>
          <w:szCs w:val="22"/>
        </w:rPr>
        <w:t xml:space="preserve">that the arrangement between the insured and </w:t>
      </w:r>
      <w:r>
        <w:rPr>
          <w:rFonts w:ascii="Times New Roman" w:hAnsi="Times New Roman" w:cs="Times New Roman"/>
          <w:sz w:val="22"/>
          <w:szCs w:val="22"/>
        </w:rPr>
        <w:t>the c</w:t>
      </w:r>
      <w:r w:rsidRPr="00C03845">
        <w:rPr>
          <w:rFonts w:ascii="Times New Roman" w:hAnsi="Times New Roman" w:cs="Times New Roman"/>
          <w:sz w:val="22"/>
          <w:szCs w:val="22"/>
        </w:rPr>
        <w:t>ompany constitutes insurance for federal income tax purposes</w:t>
      </w:r>
      <w:r>
        <w:rPr>
          <w:rFonts w:ascii="Times New Roman" w:hAnsi="Times New Roman" w:cs="Times New Roman"/>
          <w:sz w:val="22"/>
          <w:szCs w:val="22"/>
        </w:rPr>
        <w:t xml:space="preserve"> and did not require the pool to be a “bona fide insurance company.”  In fact, the IRS specifically stated in these rulings that “</w:t>
      </w:r>
      <w:bookmarkStart w:id="21" w:name="_Hlk525296112"/>
      <w:r w:rsidRPr="00CE2069">
        <w:rPr>
          <w:rFonts w:ascii="Times New Roman" w:hAnsi="Times New Roman" w:cs="Times New Roman"/>
          <w:sz w:val="22"/>
          <w:szCs w:val="22"/>
        </w:rPr>
        <w:t>no opinion has been requested and none has been expressed as to whether the reinsurance pool is an entity for federal income tax purposes</w:t>
      </w:r>
      <w:bookmarkEnd w:id="21"/>
      <w:r w:rsidRPr="00CE2069">
        <w:rPr>
          <w:rFonts w:ascii="Times New Roman" w:hAnsi="Times New Roman" w:cs="Times New Roman"/>
          <w:sz w:val="22"/>
          <w:szCs w:val="22"/>
        </w:rPr>
        <w:t>.</w:t>
      </w:r>
      <w:r>
        <w:rPr>
          <w:rFonts w:ascii="Times New Roman" w:hAnsi="Times New Roman" w:cs="Times New Roman"/>
          <w:sz w:val="22"/>
          <w:szCs w:val="22"/>
        </w:rPr>
        <w:t>”</w:t>
      </w:r>
    </w:p>
    <w:p w14:paraId="1EEBB332" w14:textId="77777777" w:rsidR="00434620" w:rsidRPr="00FD61E1" w:rsidRDefault="00434620">
      <w:pPr>
        <w:pStyle w:val="EndnoteText"/>
        <w:rPr>
          <w:rFonts w:ascii="Times New Roman" w:hAnsi="Times New Roman" w:cs="Times New Roman"/>
          <w:sz w:val="22"/>
          <w:szCs w:val="22"/>
        </w:rPr>
      </w:pPr>
    </w:p>
  </w:endnote>
  <w:endnote w:id="67">
    <w:p w14:paraId="53464A9F" w14:textId="77777777" w:rsidR="00434620" w:rsidRPr="002E280D" w:rsidRDefault="00434620">
      <w:pPr>
        <w:pStyle w:val="EndnoteText"/>
        <w:rPr>
          <w:rFonts w:ascii="Times New Roman" w:hAnsi="Times New Roman" w:cs="Times New Roman"/>
          <w:sz w:val="22"/>
          <w:szCs w:val="22"/>
        </w:rPr>
      </w:pPr>
      <w:r w:rsidRPr="002E280D">
        <w:rPr>
          <w:rStyle w:val="EndnoteReference"/>
          <w:rFonts w:ascii="Times New Roman" w:hAnsi="Times New Roman" w:cs="Times New Roman"/>
          <w:sz w:val="22"/>
          <w:szCs w:val="22"/>
        </w:rPr>
        <w:endnoteRef/>
      </w:r>
      <w:r w:rsidRPr="002E280D">
        <w:rPr>
          <w:rFonts w:ascii="Times New Roman" w:hAnsi="Times New Roman" w:cs="Times New Roman"/>
          <w:sz w:val="22"/>
          <w:szCs w:val="22"/>
        </w:rPr>
        <w:t xml:space="preserve"> </w:t>
      </w:r>
      <w:r w:rsidRPr="00517040">
        <w:rPr>
          <w:rFonts w:ascii="Times New Roman" w:hAnsi="Times New Roman" w:cs="Times New Roman"/>
          <w:i/>
          <w:sz w:val="22"/>
          <w:szCs w:val="22"/>
        </w:rPr>
        <w:t>See</w:t>
      </w:r>
      <w:r>
        <w:rPr>
          <w:rFonts w:ascii="Times New Roman" w:hAnsi="Times New Roman" w:cs="Times New Roman"/>
          <w:sz w:val="22"/>
          <w:szCs w:val="22"/>
        </w:rPr>
        <w:t xml:space="preserve"> </w:t>
      </w:r>
      <w:r w:rsidRPr="006530D0">
        <w:rPr>
          <w:rFonts w:ascii="Times New Roman" w:hAnsi="Times New Roman" w:cs="Times New Roman"/>
          <w:i/>
          <w:sz w:val="22"/>
          <w:szCs w:val="22"/>
        </w:rPr>
        <w:t>Avrahami</w:t>
      </w:r>
      <w:r>
        <w:rPr>
          <w:rFonts w:ascii="Times New Roman" w:hAnsi="Times New Roman" w:cs="Times New Roman"/>
          <w:sz w:val="22"/>
          <w:szCs w:val="22"/>
        </w:rPr>
        <w:t xml:space="preserve"> at pages 66-67.</w:t>
      </w:r>
    </w:p>
    <w:p w14:paraId="4AA99E36" w14:textId="77777777" w:rsidR="00434620" w:rsidRPr="002E280D" w:rsidRDefault="00434620">
      <w:pPr>
        <w:pStyle w:val="EndnoteText"/>
        <w:rPr>
          <w:rFonts w:ascii="Times New Roman" w:hAnsi="Times New Roman" w:cs="Times New Roman"/>
          <w:sz w:val="22"/>
          <w:szCs w:val="22"/>
        </w:rPr>
      </w:pPr>
    </w:p>
  </w:endnote>
  <w:endnote w:id="68">
    <w:p w14:paraId="68275F65" w14:textId="31937287" w:rsidR="00434620" w:rsidRDefault="00434620">
      <w:pPr>
        <w:pStyle w:val="EndnoteText"/>
        <w:rPr>
          <w:rFonts w:ascii="Times New Roman" w:hAnsi="Times New Roman" w:cs="Times New Roman"/>
          <w:sz w:val="22"/>
          <w:szCs w:val="22"/>
        </w:rPr>
      </w:pPr>
      <w:r w:rsidRPr="00754AFB">
        <w:rPr>
          <w:rStyle w:val="EndnoteReference"/>
          <w:rFonts w:ascii="Times New Roman" w:hAnsi="Times New Roman" w:cs="Times New Roman"/>
          <w:sz w:val="22"/>
          <w:szCs w:val="22"/>
        </w:rPr>
        <w:endnoteRef/>
      </w:r>
      <w:r w:rsidRPr="00754AFB">
        <w:rPr>
          <w:rFonts w:ascii="Times New Roman" w:hAnsi="Times New Roman" w:cs="Times New Roman"/>
          <w:sz w:val="22"/>
          <w:szCs w:val="22"/>
        </w:rPr>
        <w:t xml:space="preserve"> </w:t>
      </w:r>
      <w:r w:rsidRPr="00395CA6">
        <w:rPr>
          <w:rFonts w:ascii="Times New Roman" w:hAnsi="Times New Roman" w:cs="Times New Roman"/>
          <w:sz w:val="22"/>
          <w:szCs w:val="22"/>
        </w:rPr>
        <w:t>Two different witnesses testified to the fact that PoolRe was an insurance company licensed by a territory of the United Kingdom during all years at issue</w:t>
      </w:r>
      <w:r>
        <w:rPr>
          <w:rFonts w:ascii="Times New Roman" w:hAnsi="Times New Roman" w:cs="Times New Roman"/>
          <w:sz w:val="22"/>
          <w:szCs w:val="22"/>
        </w:rPr>
        <w:t xml:space="preserve">, and their testimony was unchallenged. </w:t>
      </w:r>
      <w:r w:rsidRPr="00517040">
        <w:rPr>
          <w:rFonts w:ascii="Times New Roman" w:hAnsi="Times New Roman" w:cs="Times New Roman"/>
          <w:i/>
          <w:sz w:val="22"/>
          <w:szCs w:val="22"/>
        </w:rPr>
        <w:t>See</w:t>
      </w:r>
      <w:r w:rsidRPr="001D46E0">
        <w:rPr>
          <w:rFonts w:ascii="Times New Roman" w:hAnsi="Times New Roman" w:cs="Times New Roman"/>
          <w:sz w:val="22"/>
          <w:szCs w:val="22"/>
        </w:rPr>
        <w:t xml:space="preserve"> testimony of Bob Snyder, Tr</w:t>
      </w:r>
      <w:r>
        <w:rPr>
          <w:rFonts w:ascii="Times New Roman" w:hAnsi="Times New Roman" w:cs="Times New Roman"/>
          <w:sz w:val="22"/>
          <w:szCs w:val="22"/>
        </w:rPr>
        <w:t>.</w:t>
      </w:r>
      <w:r w:rsidRPr="001D46E0">
        <w:rPr>
          <w:rFonts w:ascii="Times New Roman" w:hAnsi="Times New Roman" w:cs="Times New Roman"/>
          <w:sz w:val="22"/>
          <w:szCs w:val="22"/>
        </w:rPr>
        <w:t xml:space="preserve"> at 51-52. </w:t>
      </w:r>
      <w:r w:rsidRPr="00517040">
        <w:rPr>
          <w:rFonts w:ascii="Times New Roman" w:hAnsi="Times New Roman" w:cs="Times New Roman"/>
          <w:i/>
          <w:sz w:val="22"/>
          <w:szCs w:val="22"/>
        </w:rPr>
        <w:t>See also</w:t>
      </w:r>
      <w:r w:rsidRPr="001D46E0">
        <w:rPr>
          <w:rFonts w:ascii="Times New Roman" w:hAnsi="Times New Roman" w:cs="Times New Roman"/>
          <w:sz w:val="22"/>
          <w:szCs w:val="22"/>
        </w:rPr>
        <w:t xml:space="preserve"> testimony of Lance McNeel, Tr</w:t>
      </w:r>
      <w:r>
        <w:rPr>
          <w:rFonts w:ascii="Times New Roman" w:hAnsi="Times New Roman" w:cs="Times New Roman"/>
          <w:sz w:val="22"/>
          <w:szCs w:val="22"/>
        </w:rPr>
        <w:t>.</w:t>
      </w:r>
      <w:r w:rsidRPr="001D46E0">
        <w:rPr>
          <w:rFonts w:ascii="Times New Roman" w:hAnsi="Times New Roman" w:cs="Times New Roman"/>
          <w:sz w:val="22"/>
          <w:szCs w:val="22"/>
        </w:rPr>
        <w:t xml:space="preserve"> at 382.  Both witnesses testified that PoolRe was a licensed insurance company (domiciled in the British Virgin Islands or and later domiciled in Anguilla) during all years </w:t>
      </w:r>
      <w:r>
        <w:rPr>
          <w:rFonts w:ascii="Times New Roman" w:hAnsi="Times New Roman" w:cs="Times New Roman"/>
          <w:sz w:val="22"/>
          <w:szCs w:val="22"/>
        </w:rPr>
        <w:t>at</w:t>
      </w:r>
      <w:r w:rsidRPr="001D46E0">
        <w:rPr>
          <w:rFonts w:ascii="Times New Roman" w:hAnsi="Times New Roman" w:cs="Times New Roman"/>
          <w:sz w:val="22"/>
          <w:szCs w:val="22"/>
        </w:rPr>
        <w:t xml:space="preserve"> issue.</w:t>
      </w:r>
      <w:r>
        <w:rPr>
          <w:rFonts w:ascii="Times New Roman" w:hAnsi="Times New Roman" w:cs="Times New Roman"/>
          <w:sz w:val="22"/>
          <w:szCs w:val="22"/>
        </w:rPr>
        <w:t xml:space="preserve">  The Court erroneously implied that, for 2008, there was no evidence of PoolRe’s licensing.</w:t>
      </w:r>
    </w:p>
    <w:p w14:paraId="4983A778" w14:textId="77777777" w:rsidR="00434620" w:rsidRPr="00754AFB" w:rsidRDefault="00434620">
      <w:pPr>
        <w:pStyle w:val="EndnoteText"/>
        <w:rPr>
          <w:rFonts w:ascii="Times New Roman" w:hAnsi="Times New Roman" w:cs="Times New Roman"/>
          <w:sz w:val="22"/>
          <w:szCs w:val="22"/>
        </w:rPr>
      </w:pPr>
    </w:p>
  </w:endnote>
  <w:endnote w:id="69">
    <w:p w14:paraId="5ABC7125" w14:textId="77777777" w:rsidR="00434620" w:rsidRPr="00E11DFB" w:rsidRDefault="00434620" w:rsidP="00E11DFB">
      <w:pPr>
        <w:pStyle w:val="EndnoteText"/>
        <w:rPr>
          <w:rFonts w:ascii="Times New Roman" w:hAnsi="Times New Roman" w:cs="Times New Roman"/>
          <w:sz w:val="22"/>
          <w:szCs w:val="22"/>
        </w:rPr>
      </w:pPr>
      <w:r w:rsidRPr="00F20D42">
        <w:rPr>
          <w:rStyle w:val="EndnoteReference"/>
          <w:rFonts w:ascii="Times New Roman" w:hAnsi="Times New Roman" w:cs="Times New Roman"/>
          <w:sz w:val="22"/>
          <w:szCs w:val="22"/>
        </w:rPr>
        <w:endnoteRef/>
      </w:r>
      <w:r w:rsidRPr="00F20D42">
        <w:rPr>
          <w:rFonts w:ascii="Times New Roman" w:hAnsi="Times New Roman" w:cs="Times New Roman"/>
          <w:sz w:val="22"/>
          <w:szCs w:val="22"/>
        </w:rPr>
        <w:t xml:space="preserve"> </w:t>
      </w:r>
      <w:r w:rsidRPr="00255FDC">
        <w:rPr>
          <w:rFonts w:ascii="Times New Roman" w:hAnsi="Times New Roman" w:cs="Times New Roman"/>
          <w:sz w:val="22"/>
          <w:szCs w:val="22"/>
        </w:rPr>
        <w:t xml:space="preserve">See </w:t>
      </w:r>
      <w:r w:rsidRPr="00255FDC">
        <w:rPr>
          <w:rFonts w:ascii="Times New Roman" w:hAnsi="Times New Roman" w:cs="Times New Roman"/>
          <w:i/>
          <w:sz w:val="22"/>
          <w:szCs w:val="22"/>
        </w:rPr>
        <w:t>Avrahami</w:t>
      </w:r>
      <w:r w:rsidRPr="00255FDC">
        <w:rPr>
          <w:rFonts w:ascii="Times New Roman" w:hAnsi="Times New Roman" w:cs="Times New Roman"/>
          <w:sz w:val="22"/>
          <w:szCs w:val="22"/>
        </w:rPr>
        <w:t xml:space="preserve"> at page </w:t>
      </w:r>
      <w:r>
        <w:rPr>
          <w:rFonts w:ascii="Times New Roman" w:hAnsi="Times New Roman" w:cs="Times New Roman"/>
          <w:sz w:val="22"/>
          <w:szCs w:val="22"/>
        </w:rPr>
        <w:t>6</w:t>
      </w:r>
      <w:r w:rsidRPr="00255FDC">
        <w:rPr>
          <w:rFonts w:ascii="Times New Roman" w:hAnsi="Times New Roman" w:cs="Times New Roman"/>
          <w:sz w:val="22"/>
          <w:szCs w:val="22"/>
        </w:rPr>
        <w:t xml:space="preserve">9 of </w:t>
      </w:r>
      <w:r>
        <w:rPr>
          <w:rFonts w:ascii="Times New Roman" w:hAnsi="Times New Roman" w:cs="Times New Roman"/>
          <w:sz w:val="22"/>
          <w:szCs w:val="22"/>
        </w:rPr>
        <w:t xml:space="preserve">the </w:t>
      </w:r>
      <w:r w:rsidRPr="00255FDC">
        <w:rPr>
          <w:rFonts w:ascii="Times New Roman" w:hAnsi="Times New Roman" w:cs="Times New Roman"/>
          <w:sz w:val="22"/>
          <w:szCs w:val="22"/>
        </w:rPr>
        <w:t>slip opinion</w:t>
      </w:r>
      <w:r>
        <w:rPr>
          <w:rFonts w:ascii="Times New Roman" w:hAnsi="Times New Roman" w:cs="Times New Roman"/>
          <w:sz w:val="22"/>
          <w:szCs w:val="22"/>
        </w:rPr>
        <w:t>, where the court stated that “</w:t>
      </w:r>
      <w:r w:rsidRPr="00E11DFB">
        <w:rPr>
          <w:rFonts w:ascii="Times New Roman" w:hAnsi="Times New Roman" w:cs="Times New Roman"/>
          <w:sz w:val="22"/>
          <w:szCs w:val="22"/>
        </w:rPr>
        <w:t>Pan American charged the same rate to all of its participants regardless</w:t>
      </w:r>
      <w:r>
        <w:rPr>
          <w:rFonts w:ascii="Times New Roman" w:hAnsi="Times New Roman" w:cs="Times New Roman"/>
          <w:sz w:val="22"/>
          <w:szCs w:val="22"/>
        </w:rPr>
        <w:t xml:space="preserve"> </w:t>
      </w:r>
      <w:r w:rsidRPr="00E11DFB">
        <w:rPr>
          <w:rFonts w:ascii="Times New Roman" w:hAnsi="Times New Roman" w:cs="Times New Roman"/>
          <w:sz w:val="22"/>
          <w:szCs w:val="22"/>
        </w:rPr>
        <w:t>of their geographic location</w:t>
      </w:r>
      <w:r>
        <w:rPr>
          <w:rFonts w:ascii="Times New Roman" w:hAnsi="Times New Roman" w:cs="Times New Roman"/>
          <w:sz w:val="22"/>
          <w:szCs w:val="22"/>
        </w:rPr>
        <w:t>” and “</w:t>
      </w:r>
      <w:r w:rsidRPr="00E11DFB">
        <w:rPr>
          <w:rFonts w:ascii="Times New Roman" w:hAnsi="Times New Roman" w:cs="Times New Roman"/>
          <w:sz w:val="22"/>
          <w:szCs w:val="22"/>
        </w:rPr>
        <w:t>Pan American participants also paid the</w:t>
      </w:r>
      <w:r>
        <w:rPr>
          <w:rFonts w:ascii="Times New Roman" w:hAnsi="Times New Roman" w:cs="Times New Roman"/>
          <w:sz w:val="22"/>
          <w:szCs w:val="22"/>
        </w:rPr>
        <w:t xml:space="preserve"> </w:t>
      </w:r>
      <w:r w:rsidRPr="00E11DFB">
        <w:rPr>
          <w:rFonts w:ascii="Times New Roman" w:hAnsi="Times New Roman" w:cs="Times New Roman"/>
          <w:sz w:val="22"/>
          <w:szCs w:val="22"/>
        </w:rPr>
        <w:t>same rate even if they</w:t>
      </w:r>
      <w:r>
        <w:rPr>
          <w:rFonts w:ascii="Times New Roman" w:hAnsi="Times New Roman" w:cs="Times New Roman"/>
          <w:sz w:val="22"/>
          <w:szCs w:val="22"/>
        </w:rPr>
        <w:t xml:space="preserve"> – </w:t>
      </w:r>
      <w:r w:rsidRPr="00E11DFB">
        <w:rPr>
          <w:rFonts w:ascii="Times New Roman" w:hAnsi="Times New Roman" w:cs="Times New Roman"/>
          <w:sz w:val="22"/>
          <w:szCs w:val="22"/>
        </w:rPr>
        <w:t>like American Findings</w:t>
      </w:r>
      <w:r>
        <w:rPr>
          <w:rFonts w:ascii="Times New Roman" w:hAnsi="Times New Roman" w:cs="Times New Roman"/>
          <w:sz w:val="22"/>
          <w:szCs w:val="22"/>
        </w:rPr>
        <w:t xml:space="preserve"> – </w:t>
      </w:r>
      <w:r w:rsidRPr="00E11DFB">
        <w:rPr>
          <w:rFonts w:ascii="Times New Roman" w:hAnsi="Times New Roman" w:cs="Times New Roman"/>
          <w:sz w:val="22"/>
          <w:szCs w:val="22"/>
        </w:rPr>
        <w:t>had terrorism coverage under</w:t>
      </w:r>
    </w:p>
    <w:p w14:paraId="0A4D8E62" w14:textId="77777777" w:rsidR="00434620" w:rsidRPr="00B57F80" w:rsidRDefault="00434620" w:rsidP="00E11DFB">
      <w:pPr>
        <w:pStyle w:val="EndnoteText"/>
        <w:rPr>
          <w:rFonts w:ascii="Times New Roman" w:hAnsi="Times New Roman" w:cs="Times New Roman"/>
          <w:sz w:val="22"/>
          <w:szCs w:val="22"/>
        </w:rPr>
      </w:pPr>
      <w:r w:rsidRPr="00E11DFB">
        <w:rPr>
          <w:rFonts w:ascii="Times New Roman" w:hAnsi="Times New Roman" w:cs="Times New Roman"/>
          <w:sz w:val="22"/>
          <w:szCs w:val="22"/>
        </w:rPr>
        <w:t>another policy, even though the TRIP policy was written as an excess-coverage</w:t>
      </w:r>
      <w:r>
        <w:rPr>
          <w:rFonts w:ascii="Times New Roman" w:hAnsi="Times New Roman" w:cs="Times New Roman"/>
          <w:sz w:val="22"/>
          <w:szCs w:val="22"/>
        </w:rPr>
        <w:t xml:space="preserve"> </w:t>
      </w:r>
      <w:r w:rsidRPr="00E11DFB">
        <w:rPr>
          <w:rFonts w:ascii="Times New Roman" w:hAnsi="Times New Roman" w:cs="Times New Roman"/>
          <w:sz w:val="22"/>
          <w:szCs w:val="22"/>
        </w:rPr>
        <w:t>policy, in which the risk assumed by Pan American was only the portion of a loss</w:t>
      </w:r>
      <w:r>
        <w:rPr>
          <w:rFonts w:ascii="Times New Roman" w:hAnsi="Times New Roman" w:cs="Times New Roman"/>
          <w:sz w:val="22"/>
          <w:szCs w:val="22"/>
        </w:rPr>
        <w:t xml:space="preserve"> </w:t>
      </w:r>
      <w:r w:rsidRPr="00E11DFB">
        <w:rPr>
          <w:rFonts w:ascii="Times New Roman" w:hAnsi="Times New Roman" w:cs="Times New Roman"/>
          <w:sz w:val="22"/>
          <w:szCs w:val="22"/>
        </w:rPr>
        <w:t>not covered, or not fully covered, by another policy.</w:t>
      </w:r>
      <w:r>
        <w:rPr>
          <w:rFonts w:ascii="Times New Roman" w:hAnsi="Times New Roman" w:cs="Times New Roman"/>
          <w:sz w:val="22"/>
          <w:szCs w:val="22"/>
        </w:rPr>
        <w:t>”</w:t>
      </w:r>
    </w:p>
    <w:p w14:paraId="5C5BF554" w14:textId="77777777" w:rsidR="00434620" w:rsidRPr="00B57F80" w:rsidRDefault="00434620">
      <w:pPr>
        <w:pStyle w:val="EndnoteText"/>
        <w:rPr>
          <w:rFonts w:ascii="Times New Roman" w:hAnsi="Times New Roman" w:cs="Times New Roman"/>
          <w:sz w:val="22"/>
          <w:szCs w:val="22"/>
        </w:rPr>
      </w:pPr>
    </w:p>
  </w:endnote>
  <w:endnote w:id="70">
    <w:p w14:paraId="4EDF8C67" w14:textId="77777777" w:rsidR="00434620" w:rsidRPr="00517040" w:rsidRDefault="00434620" w:rsidP="00DD401E">
      <w:pPr>
        <w:pStyle w:val="EndnoteText"/>
        <w:rPr>
          <w:rFonts w:ascii="Times New Roman" w:hAnsi="Times New Roman" w:cs="Times New Roman"/>
          <w:sz w:val="22"/>
          <w:szCs w:val="22"/>
        </w:rPr>
      </w:pPr>
      <w:r w:rsidRPr="00517040">
        <w:rPr>
          <w:rStyle w:val="EndnoteReference"/>
          <w:rFonts w:ascii="Times New Roman" w:hAnsi="Times New Roman" w:cs="Times New Roman"/>
          <w:sz w:val="22"/>
          <w:szCs w:val="22"/>
        </w:rPr>
        <w:endnoteRef/>
      </w:r>
      <w:r w:rsidRPr="00517040">
        <w:rPr>
          <w:rFonts w:ascii="Times New Roman" w:hAnsi="Times New Roman" w:cs="Times New Roman"/>
          <w:sz w:val="22"/>
          <w:szCs w:val="22"/>
        </w:rPr>
        <w:t xml:space="preserve"> </w:t>
      </w:r>
      <w:bookmarkStart w:id="25" w:name="_Hlk525210446"/>
      <w:r w:rsidRPr="00517040">
        <w:rPr>
          <w:rFonts w:ascii="Times New Roman" w:hAnsi="Times New Roman" w:cs="Times New Roman"/>
          <w:i/>
          <w:sz w:val="22"/>
          <w:szCs w:val="22"/>
        </w:rPr>
        <w:t>See Avrahami</w:t>
      </w:r>
      <w:r w:rsidRPr="00517040">
        <w:rPr>
          <w:rFonts w:ascii="Times New Roman" w:hAnsi="Times New Roman" w:cs="Times New Roman"/>
          <w:sz w:val="22"/>
          <w:szCs w:val="22"/>
        </w:rPr>
        <w:t xml:space="preserve"> at page 85, </w:t>
      </w:r>
      <w:bookmarkEnd w:id="25"/>
      <w:r w:rsidRPr="00517040">
        <w:rPr>
          <w:rFonts w:ascii="Times New Roman" w:hAnsi="Times New Roman" w:cs="Times New Roman"/>
          <w:sz w:val="22"/>
          <w:szCs w:val="22"/>
        </w:rPr>
        <w:t>where the court stated that “We find from all this that [the actuary’s] calculations aimed not at actuarially sound decision-making but at justifying total premiums as close as possible to $1.2 million – the target – without going over. To do so he would add in</w:t>
      </w:r>
    </w:p>
    <w:p w14:paraId="711A330B" w14:textId="77777777" w:rsidR="00434620" w:rsidRPr="00517040" w:rsidRDefault="00434620" w:rsidP="00DD401E">
      <w:pPr>
        <w:pStyle w:val="EndnoteText"/>
        <w:rPr>
          <w:rFonts w:ascii="Times New Roman" w:hAnsi="Times New Roman" w:cs="Times New Roman"/>
          <w:sz w:val="22"/>
          <w:szCs w:val="22"/>
        </w:rPr>
      </w:pPr>
      <w:r w:rsidRPr="00517040">
        <w:rPr>
          <w:rFonts w:ascii="Times New Roman" w:hAnsi="Times New Roman" w:cs="Times New Roman"/>
          <w:sz w:val="22"/>
          <w:szCs w:val="22"/>
        </w:rPr>
        <w:t>a proration factor or drop the policy limits until he reached his goal.”</w:t>
      </w:r>
    </w:p>
    <w:p w14:paraId="15250EDB" w14:textId="77777777" w:rsidR="00434620" w:rsidRPr="00517040" w:rsidRDefault="00434620">
      <w:pPr>
        <w:pStyle w:val="EndnoteText"/>
        <w:rPr>
          <w:rFonts w:ascii="Times New Roman" w:hAnsi="Times New Roman" w:cs="Times New Roman"/>
          <w:sz w:val="22"/>
          <w:szCs w:val="22"/>
        </w:rPr>
      </w:pPr>
    </w:p>
  </w:endnote>
  <w:endnote w:id="71">
    <w:p w14:paraId="49B7A3BA" w14:textId="77777777" w:rsidR="00434620" w:rsidRPr="00517040" w:rsidRDefault="00434620" w:rsidP="002574A8">
      <w:pPr>
        <w:pStyle w:val="EndnoteText"/>
        <w:rPr>
          <w:rFonts w:ascii="Times New Roman" w:hAnsi="Times New Roman" w:cs="Times New Roman"/>
          <w:sz w:val="22"/>
          <w:szCs w:val="22"/>
        </w:rPr>
      </w:pPr>
      <w:r w:rsidRPr="00517040">
        <w:rPr>
          <w:rStyle w:val="EndnoteReference"/>
          <w:rFonts w:ascii="Times New Roman" w:hAnsi="Times New Roman" w:cs="Times New Roman"/>
          <w:sz w:val="22"/>
          <w:szCs w:val="22"/>
        </w:rPr>
        <w:endnoteRef/>
      </w:r>
      <w:r w:rsidRPr="00517040">
        <w:rPr>
          <w:rFonts w:ascii="Times New Roman" w:hAnsi="Times New Roman" w:cs="Times New Roman"/>
          <w:sz w:val="22"/>
          <w:szCs w:val="22"/>
        </w:rPr>
        <w:t xml:space="preserve"> </w:t>
      </w:r>
      <w:r w:rsidRPr="00517040">
        <w:rPr>
          <w:rFonts w:ascii="Times New Roman" w:hAnsi="Times New Roman" w:cs="Times New Roman"/>
          <w:i/>
          <w:sz w:val="22"/>
          <w:szCs w:val="22"/>
        </w:rPr>
        <w:t xml:space="preserve">See Avrahami </w:t>
      </w:r>
      <w:r w:rsidRPr="00517040">
        <w:rPr>
          <w:rFonts w:ascii="Times New Roman" w:hAnsi="Times New Roman" w:cs="Times New Roman"/>
          <w:sz w:val="22"/>
          <w:szCs w:val="22"/>
        </w:rPr>
        <w:t>at pages 39-40, where the court stated that “In addition to its TRIP policy from Pan American, American Findings continued to buy add-on terrorism coverage – backed by the federal government in compliance with TRIA – from its commercial-insurance provider, Jewelers Mutual. The record shows that American Findings paid around $1,500 in 2009 and $1,600 in 2010 for this additional coverage. The Jewelers Mutual policy had a $2 million aggregate limit and specifically excluded coverage for chemical and biological hazards.”</w:t>
      </w:r>
    </w:p>
    <w:p w14:paraId="2510EAF1" w14:textId="77777777" w:rsidR="00434620" w:rsidRPr="00517040" w:rsidRDefault="00434620">
      <w:pPr>
        <w:pStyle w:val="EndnoteText"/>
        <w:rPr>
          <w:rFonts w:ascii="Times New Roman" w:hAnsi="Times New Roman" w:cs="Times New Roman"/>
          <w:sz w:val="22"/>
          <w:szCs w:val="22"/>
        </w:rPr>
      </w:pPr>
    </w:p>
  </w:endnote>
  <w:endnote w:id="72">
    <w:p w14:paraId="1511E743" w14:textId="77777777" w:rsidR="00434620" w:rsidRPr="0022155B" w:rsidRDefault="00434620">
      <w:pPr>
        <w:pStyle w:val="EndnoteText"/>
        <w:rPr>
          <w:rFonts w:ascii="Times New Roman" w:hAnsi="Times New Roman" w:cs="Times New Roman"/>
          <w:sz w:val="22"/>
          <w:szCs w:val="22"/>
        </w:rPr>
      </w:pPr>
      <w:r w:rsidRPr="00517040">
        <w:rPr>
          <w:rStyle w:val="EndnoteReference"/>
          <w:rFonts w:ascii="Times New Roman" w:hAnsi="Times New Roman" w:cs="Times New Roman"/>
          <w:sz w:val="22"/>
          <w:szCs w:val="22"/>
        </w:rPr>
        <w:endnoteRef/>
      </w:r>
      <w:r w:rsidRPr="00517040">
        <w:rPr>
          <w:rFonts w:ascii="Times New Roman" w:hAnsi="Times New Roman" w:cs="Times New Roman"/>
          <w:sz w:val="22"/>
          <w:szCs w:val="22"/>
        </w:rPr>
        <w:t xml:space="preserve"> </w:t>
      </w:r>
      <w:r w:rsidRPr="00517040">
        <w:rPr>
          <w:rFonts w:ascii="Times New Roman" w:hAnsi="Times New Roman" w:cs="Times New Roman"/>
          <w:i/>
          <w:sz w:val="22"/>
          <w:szCs w:val="22"/>
        </w:rPr>
        <w:t>See</w:t>
      </w:r>
      <w:r w:rsidRPr="00517040">
        <w:rPr>
          <w:rFonts w:ascii="Times New Roman" w:hAnsi="Times New Roman" w:cs="Times New Roman"/>
          <w:sz w:val="22"/>
          <w:szCs w:val="22"/>
        </w:rPr>
        <w:t xml:space="preserve"> Exhibit</w:t>
      </w:r>
      <w:r w:rsidRPr="00476881">
        <w:rPr>
          <w:rFonts w:ascii="Times New Roman" w:hAnsi="Times New Roman" w:cs="Times New Roman"/>
          <w:sz w:val="22"/>
          <w:szCs w:val="22"/>
        </w:rPr>
        <w:t xml:space="preserve"> 35-J (2008 Direct Written Policy Schedule for Reserve Casualty Corp.), Exhibit</w:t>
      </w:r>
      <w:r w:rsidRPr="00563133">
        <w:rPr>
          <w:rFonts w:ascii="Times New Roman" w:hAnsi="Times New Roman" w:cs="Times New Roman"/>
          <w:sz w:val="22"/>
          <w:szCs w:val="22"/>
        </w:rPr>
        <w:t xml:space="preserve"> </w:t>
      </w:r>
      <w:r>
        <w:rPr>
          <w:rFonts w:ascii="Times New Roman" w:hAnsi="Times New Roman" w:cs="Times New Roman"/>
          <w:sz w:val="22"/>
          <w:szCs w:val="22"/>
        </w:rPr>
        <w:t>59</w:t>
      </w:r>
      <w:r w:rsidRPr="00563133">
        <w:rPr>
          <w:rFonts w:ascii="Times New Roman" w:hAnsi="Times New Roman" w:cs="Times New Roman"/>
          <w:sz w:val="22"/>
          <w:szCs w:val="22"/>
        </w:rPr>
        <w:t>-J (200</w:t>
      </w:r>
      <w:r>
        <w:rPr>
          <w:rFonts w:ascii="Times New Roman" w:hAnsi="Times New Roman" w:cs="Times New Roman"/>
          <w:sz w:val="22"/>
          <w:szCs w:val="22"/>
        </w:rPr>
        <w:t>9</w:t>
      </w:r>
      <w:r w:rsidRPr="00563133">
        <w:rPr>
          <w:rFonts w:ascii="Times New Roman" w:hAnsi="Times New Roman" w:cs="Times New Roman"/>
          <w:sz w:val="22"/>
          <w:szCs w:val="22"/>
        </w:rPr>
        <w:t xml:space="preserve"> Direct Written Policy Schedule for Reserve Casualty Corp.)</w:t>
      </w:r>
      <w:r>
        <w:rPr>
          <w:rFonts w:ascii="Times New Roman" w:hAnsi="Times New Roman" w:cs="Times New Roman"/>
          <w:sz w:val="22"/>
          <w:szCs w:val="22"/>
        </w:rPr>
        <w:t xml:space="preserve">, and </w:t>
      </w:r>
      <w:r w:rsidRPr="00563133">
        <w:rPr>
          <w:rFonts w:ascii="Times New Roman" w:hAnsi="Times New Roman" w:cs="Times New Roman"/>
          <w:sz w:val="22"/>
          <w:szCs w:val="22"/>
        </w:rPr>
        <w:t xml:space="preserve">Exhibit </w:t>
      </w:r>
      <w:r>
        <w:rPr>
          <w:rFonts w:ascii="Times New Roman" w:hAnsi="Times New Roman" w:cs="Times New Roman"/>
          <w:sz w:val="22"/>
          <w:szCs w:val="22"/>
        </w:rPr>
        <w:t>74</w:t>
      </w:r>
      <w:r w:rsidRPr="00563133">
        <w:rPr>
          <w:rFonts w:ascii="Times New Roman" w:hAnsi="Times New Roman" w:cs="Times New Roman"/>
          <w:sz w:val="22"/>
          <w:szCs w:val="22"/>
        </w:rPr>
        <w:t>-J (20</w:t>
      </w:r>
      <w:r>
        <w:rPr>
          <w:rFonts w:ascii="Times New Roman" w:hAnsi="Times New Roman" w:cs="Times New Roman"/>
          <w:sz w:val="22"/>
          <w:szCs w:val="22"/>
        </w:rPr>
        <w:t>10</w:t>
      </w:r>
      <w:r w:rsidRPr="00563133">
        <w:rPr>
          <w:rFonts w:ascii="Times New Roman" w:hAnsi="Times New Roman" w:cs="Times New Roman"/>
          <w:sz w:val="22"/>
          <w:szCs w:val="22"/>
        </w:rPr>
        <w:t xml:space="preserve"> Direct Written Policy Schedule for Reserve Casualty Corp.)</w:t>
      </w:r>
      <w:r>
        <w:rPr>
          <w:rFonts w:ascii="Times New Roman" w:hAnsi="Times New Roman" w:cs="Times New Roman"/>
          <w:sz w:val="22"/>
          <w:szCs w:val="22"/>
        </w:rPr>
        <w:t xml:space="preserve">.  </w:t>
      </w:r>
      <w:r w:rsidRPr="00517040">
        <w:rPr>
          <w:rFonts w:ascii="Times New Roman" w:hAnsi="Times New Roman" w:cs="Times New Roman"/>
          <w:i/>
          <w:sz w:val="22"/>
          <w:szCs w:val="22"/>
        </w:rPr>
        <w:t>See also</w:t>
      </w:r>
      <w:r>
        <w:rPr>
          <w:rFonts w:ascii="Times New Roman" w:hAnsi="Times New Roman" w:cs="Times New Roman"/>
          <w:sz w:val="22"/>
          <w:szCs w:val="22"/>
        </w:rPr>
        <w:t xml:space="preserve"> Exhibit 53-J (2008 Joint Underwriting Stop Loss Endorsement – Reserve Casualty Corp. as “Lead Insurer” and PoolRe as “Stop Loss Insurer”).</w:t>
      </w:r>
    </w:p>
    <w:p w14:paraId="6AE1A24B" w14:textId="77777777" w:rsidR="00434620" w:rsidRPr="0069214C" w:rsidRDefault="00434620">
      <w:pPr>
        <w:pStyle w:val="EndnoteText"/>
        <w:rPr>
          <w:rFonts w:ascii="Times New Roman" w:hAnsi="Times New Roman" w:cs="Times New Roman"/>
          <w:sz w:val="22"/>
          <w:szCs w:val="22"/>
        </w:rPr>
      </w:pPr>
    </w:p>
  </w:endnote>
  <w:endnote w:id="73">
    <w:p w14:paraId="6D1C16D9" w14:textId="77777777" w:rsidR="00434620" w:rsidRDefault="00434620">
      <w:pPr>
        <w:pStyle w:val="EndnoteText"/>
        <w:rPr>
          <w:rFonts w:ascii="Times New Roman" w:hAnsi="Times New Roman" w:cs="Times New Roman"/>
          <w:sz w:val="22"/>
          <w:szCs w:val="22"/>
        </w:rPr>
      </w:pPr>
      <w:r w:rsidRPr="0069214C">
        <w:rPr>
          <w:rStyle w:val="EndnoteReference"/>
          <w:rFonts w:ascii="Times New Roman" w:hAnsi="Times New Roman" w:cs="Times New Roman"/>
          <w:sz w:val="22"/>
          <w:szCs w:val="22"/>
        </w:rPr>
        <w:endnoteRef/>
      </w:r>
      <w:r w:rsidRPr="0069214C">
        <w:rPr>
          <w:rFonts w:ascii="Times New Roman" w:hAnsi="Times New Roman" w:cs="Times New Roman"/>
          <w:sz w:val="22"/>
          <w:szCs w:val="22"/>
        </w:rPr>
        <w:t xml:space="preserve"> </w:t>
      </w:r>
      <w:r w:rsidRPr="00517040">
        <w:rPr>
          <w:rFonts w:ascii="Times New Roman" w:hAnsi="Times New Roman" w:cs="Times New Roman"/>
          <w:i/>
          <w:sz w:val="22"/>
          <w:szCs w:val="22"/>
        </w:rPr>
        <w:t>See</w:t>
      </w:r>
      <w:r>
        <w:rPr>
          <w:rFonts w:ascii="Times New Roman" w:hAnsi="Times New Roman" w:cs="Times New Roman"/>
          <w:sz w:val="22"/>
          <w:szCs w:val="22"/>
        </w:rPr>
        <w:t xml:space="preserve"> </w:t>
      </w:r>
      <w:r w:rsidRPr="00060B40">
        <w:rPr>
          <w:rFonts w:ascii="Times New Roman" w:hAnsi="Times New Roman" w:cs="Times New Roman"/>
          <w:i/>
          <w:sz w:val="22"/>
          <w:szCs w:val="22"/>
        </w:rPr>
        <w:t>Reserve</w:t>
      </w:r>
      <w:r>
        <w:rPr>
          <w:rFonts w:ascii="Times New Roman" w:hAnsi="Times New Roman" w:cs="Times New Roman"/>
          <w:sz w:val="22"/>
          <w:szCs w:val="22"/>
        </w:rPr>
        <w:t xml:space="preserve"> at page 61.</w:t>
      </w:r>
    </w:p>
    <w:p w14:paraId="69A5698E" w14:textId="77777777" w:rsidR="00434620" w:rsidRPr="00B71BD6" w:rsidRDefault="00434620">
      <w:pPr>
        <w:pStyle w:val="EndnoteText"/>
        <w:rPr>
          <w:rFonts w:ascii="Times New Roman" w:hAnsi="Times New Roman" w:cs="Times New Roman"/>
          <w:sz w:val="22"/>
          <w:szCs w:val="22"/>
        </w:rPr>
      </w:pPr>
    </w:p>
  </w:endnote>
  <w:endnote w:id="74">
    <w:p w14:paraId="09CF6DFE" w14:textId="77777777" w:rsidR="00434620" w:rsidRPr="005D24BB" w:rsidRDefault="00434620" w:rsidP="005D24BB">
      <w:pPr>
        <w:pStyle w:val="EndnoteText"/>
        <w:rPr>
          <w:rFonts w:ascii="Times New Roman" w:hAnsi="Times New Roman" w:cs="Times New Roman"/>
          <w:sz w:val="22"/>
          <w:szCs w:val="22"/>
        </w:rPr>
      </w:pPr>
      <w:r w:rsidRPr="00B71BD6">
        <w:rPr>
          <w:rStyle w:val="EndnoteReference"/>
          <w:rFonts w:ascii="Times New Roman" w:hAnsi="Times New Roman" w:cs="Times New Roman"/>
          <w:sz w:val="22"/>
          <w:szCs w:val="22"/>
        </w:rPr>
        <w:endnoteRef/>
      </w:r>
      <w:r w:rsidRPr="00B71BD6">
        <w:rPr>
          <w:rFonts w:ascii="Times New Roman" w:hAnsi="Times New Roman" w:cs="Times New Roman"/>
          <w:sz w:val="22"/>
          <w:szCs w:val="22"/>
        </w:rPr>
        <w:t xml:space="preserve"> </w:t>
      </w:r>
      <w:r w:rsidRPr="00517040">
        <w:rPr>
          <w:rFonts w:ascii="Times New Roman" w:hAnsi="Times New Roman" w:cs="Times New Roman"/>
          <w:i/>
          <w:sz w:val="22"/>
          <w:szCs w:val="22"/>
        </w:rPr>
        <w:t>See</w:t>
      </w:r>
      <w:r w:rsidRPr="005D24BB">
        <w:rPr>
          <w:rFonts w:ascii="Times New Roman" w:hAnsi="Times New Roman" w:cs="Times New Roman"/>
          <w:sz w:val="22"/>
          <w:szCs w:val="22"/>
        </w:rPr>
        <w:t xml:space="preserve"> </w:t>
      </w:r>
      <w:r w:rsidRPr="00060B40">
        <w:rPr>
          <w:rFonts w:ascii="Times New Roman" w:hAnsi="Times New Roman" w:cs="Times New Roman"/>
          <w:i/>
          <w:sz w:val="22"/>
          <w:szCs w:val="22"/>
        </w:rPr>
        <w:t>Reserve</w:t>
      </w:r>
      <w:r>
        <w:rPr>
          <w:rFonts w:ascii="Times New Roman" w:hAnsi="Times New Roman" w:cs="Times New Roman"/>
          <w:sz w:val="22"/>
          <w:szCs w:val="22"/>
        </w:rPr>
        <w:t xml:space="preserve"> at </w:t>
      </w:r>
      <w:r w:rsidRPr="005D24BB">
        <w:rPr>
          <w:rFonts w:ascii="Times New Roman" w:hAnsi="Times New Roman" w:cs="Times New Roman"/>
          <w:sz w:val="22"/>
          <w:szCs w:val="22"/>
        </w:rPr>
        <w:t>page 14</w:t>
      </w:r>
      <w:r>
        <w:rPr>
          <w:rFonts w:ascii="Times New Roman" w:hAnsi="Times New Roman" w:cs="Times New Roman"/>
          <w:sz w:val="22"/>
          <w:szCs w:val="22"/>
        </w:rPr>
        <w:t xml:space="preserve">, </w:t>
      </w:r>
      <w:r w:rsidRPr="005D24BB">
        <w:rPr>
          <w:rFonts w:ascii="Times New Roman" w:hAnsi="Times New Roman" w:cs="Times New Roman"/>
          <w:sz w:val="22"/>
          <w:szCs w:val="22"/>
        </w:rPr>
        <w:t xml:space="preserve">where the Court </w:t>
      </w:r>
      <w:r>
        <w:rPr>
          <w:rFonts w:ascii="Times New Roman" w:hAnsi="Times New Roman" w:cs="Times New Roman"/>
          <w:sz w:val="22"/>
          <w:szCs w:val="22"/>
        </w:rPr>
        <w:t xml:space="preserve">removed </w:t>
      </w:r>
      <w:r w:rsidRPr="005D24BB">
        <w:rPr>
          <w:rFonts w:ascii="Times New Roman" w:hAnsi="Times New Roman" w:cs="Times New Roman"/>
          <w:sz w:val="22"/>
          <w:szCs w:val="22"/>
        </w:rPr>
        <w:t xml:space="preserve">the following language </w:t>
      </w:r>
      <w:r>
        <w:rPr>
          <w:rFonts w:ascii="Times New Roman" w:hAnsi="Times New Roman" w:cs="Times New Roman"/>
          <w:sz w:val="22"/>
          <w:szCs w:val="22"/>
        </w:rPr>
        <w:t xml:space="preserve">from its quotation of </w:t>
      </w:r>
      <w:r w:rsidRPr="005D24BB">
        <w:rPr>
          <w:rFonts w:ascii="Times New Roman" w:hAnsi="Times New Roman" w:cs="Times New Roman"/>
          <w:sz w:val="22"/>
          <w:szCs w:val="22"/>
        </w:rPr>
        <w:t>Reserve’s direct written policies, erroneously concluding with the massaged excerpt that Peak’s coverages with third-party insurers were duplicative with the policies that Reserve issued to Peak and the other insureds, which was not the case: “THE COVERAGES AFFORDED BY THIS POLICY ARE EXCESS OVER ANY OTHER VALID AND COLLECTIBLE INSURANCE POLICY ISSUED BY ANY OTHER INSURER * * *. THE LIMITS AND DEDUCTIBLES STATED HEREIN ONLY APPLY AFTER COVERAGE IS EXHAUSTED FROM ANY AND ALL OTHER VALID INSURANCE POLICIES ISSUED BY ANY OTHER INSURER.”</w:t>
      </w:r>
    </w:p>
    <w:p w14:paraId="75BB50FC" w14:textId="77777777" w:rsidR="00434620" w:rsidRPr="005D24BB" w:rsidRDefault="00434620" w:rsidP="005D24BB">
      <w:pPr>
        <w:pStyle w:val="EndnoteText"/>
        <w:rPr>
          <w:rFonts w:ascii="Times New Roman" w:hAnsi="Times New Roman" w:cs="Times New Roman"/>
          <w:sz w:val="22"/>
          <w:szCs w:val="22"/>
        </w:rPr>
      </w:pPr>
    </w:p>
    <w:p w14:paraId="2E1EB7BA" w14:textId="722E6562" w:rsidR="00434620" w:rsidRDefault="00434620" w:rsidP="005D24BB">
      <w:pPr>
        <w:pStyle w:val="EndnoteText"/>
        <w:rPr>
          <w:rFonts w:ascii="Times New Roman" w:hAnsi="Times New Roman" w:cs="Times New Roman"/>
          <w:sz w:val="22"/>
          <w:szCs w:val="22"/>
        </w:rPr>
      </w:pPr>
      <w:r w:rsidRPr="005D24BB">
        <w:rPr>
          <w:rFonts w:ascii="Times New Roman" w:hAnsi="Times New Roman" w:cs="Times New Roman"/>
          <w:sz w:val="22"/>
          <w:szCs w:val="22"/>
        </w:rPr>
        <w:t xml:space="preserve">Unexplainedly omitted by the Court in its excerpt was the following </w:t>
      </w:r>
      <w:r>
        <w:rPr>
          <w:rFonts w:ascii="Times New Roman" w:hAnsi="Times New Roman" w:cs="Times New Roman"/>
          <w:sz w:val="22"/>
          <w:szCs w:val="22"/>
        </w:rPr>
        <w:t xml:space="preserve">language </w:t>
      </w:r>
      <w:r w:rsidRPr="005D24BB">
        <w:rPr>
          <w:rFonts w:ascii="Times New Roman" w:hAnsi="Times New Roman" w:cs="Times New Roman"/>
          <w:sz w:val="22"/>
          <w:szCs w:val="22"/>
        </w:rPr>
        <w:t xml:space="preserve">which runs totally contrary to the Court’s “analysis”: “THIS EXCESS POLICY DOES NOT REQUIRE THE INSURED TO MAINTAIN ANY SPECIFIC UNDERLYING PRIMARY INSURANCE POLICIES UNLESS SPECIFIED BY ENDORSEMENT TO THIS POLICY. </w:t>
      </w:r>
      <w:r w:rsidRPr="004125B9">
        <w:rPr>
          <w:rFonts w:ascii="Times New Roman" w:hAnsi="Times New Roman" w:cs="Times New Roman"/>
          <w:b/>
          <w:sz w:val="22"/>
          <w:szCs w:val="22"/>
        </w:rPr>
        <w:t>THE COVERAGES AFFORDED HEREIN WILL DROP DOWN AND PROVIDE COVERAGE ONLY IF THERE ARE NO OTHER VALID AND COLLECTIBLE INSURANCE POLICIES IN FORCE TO WHICH A CLAIM WOULD APPLY</w:t>
      </w:r>
      <w:r w:rsidRPr="005D24BB">
        <w:rPr>
          <w:rFonts w:ascii="Times New Roman" w:hAnsi="Times New Roman" w:cs="Times New Roman"/>
          <w:sz w:val="22"/>
          <w:szCs w:val="22"/>
        </w:rPr>
        <w:t>, SUBJECT TO THIS POLICY’S TERMS AND CONDITIONS. (emphasis added.)</w:t>
      </w:r>
      <w:r>
        <w:rPr>
          <w:rFonts w:ascii="Times New Roman" w:hAnsi="Times New Roman" w:cs="Times New Roman"/>
          <w:sz w:val="22"/>
          <w:szCs w:val="22"/>
        </w:rPr>
        <w:t xml:space="preserve">. </w:t>
      </w:r>
    </w:p>
    <w:p w14:paraId="6B7B2EDD" w14:textId="77777777" w:rsidR="00434620" w:rsidRPr="00B71BD6" w:rsidRDefault="00434620" w:rsidP="005D24BB">
      <w:pPr>
        <w:pStyle w:val="EndnoteText"/>
        <w:rPr>
          <w:rFonts w:ascii="Times New Roman" w:hAnsi="Times New Roman" w:cs="Times New Roman"/>
          <w:sz w:val="22"/>
          <w:szCs w:val="22"/>
        </w:rPr>
      </w:pPr>
    </w:p>
  </w:endnote>
  <w:endnote w:id="75">
    <w:p w14:paraId="6FC1BB62" w14:textId="77777777" w:rsidR="00434620" w:rsidRPr="005942C4" w:rsidRDefault="00434620">
      <w:pPr>
        <w:pStyle w:val="EndnoteText"/>
        <w:rPr>
          <w:rFonts w:ascii="Times New Roman" w:hAnsi="Times New Roman" w:cs="Times New Roman"/>
          <w:sz w:val="22"/>
          <w:szCs w:val="22"/>
        </w:rPr>
      </w:pPr>
      <w:r w:rsidRPr="005942C4">
        <w:rPr>
          <w:rStyle w:val="EndnoteReference"/>
          <w:rFonts w:ascii="Times New Roman" w:hAnsi="Times New Roman" w:cs="Times New Roman"/>
          <w:sz w:val="22"/>
          <w:szCs w:val="22"/>
        </w:rPr>
        <w:endnoteRef/>
      </w:r>
      <w:r w:rsidRPr="005942C4">
        <w:rPr>
          <w:rFonts w:ascii="Times New Roman" w:hAnsi="Times New Roman" w:cs="Times New Roman"/>
          <w:sz w:val="22"/>
          <w:szCs w:val="22"/>
        </w:rPr>
        <w:t xml:space="preserve"> </w:t>
      </w:r>
      <w:r w:rsidRPr="00517040">
        <w:rPr>
          <w:rFonts w:ascii="Times New Roman" w:hAnsi="Times New Roman" w:cs="Times New Roman"/>
          <w:i/>
          <w:sz w:val="22"/>
          <w:szCs w:val="22"/>
        </w:rPr>
        <w:t>See</w:t>
      </w:r>
      <w:r w:rsidRPr="005942C4">
        <w:rPr>
          <w:rFonts w:ascii="Times New Roman" w:hAnsi="Times New Roman" w:cs="Times New Roman"/>
          <w:sz w:val="22"/>
          <w:szCs w:val="22"/>
        </w:rPr>
        <w:t xml:space="preserve"> Exhibit </w:t>
      </w:r>
      <w:r>
        <w:rPr>
          <w:rFonts w:ascii="Times New Roman" w:hAnsi="Times New Roman" w:cs="Times New Roman"/>
          <w:sz w:val="22"/>
          <w:szCs w:val="22"/>
        </w:rPr>
        <w:t>86</w:t>
      </w:r>
      <w:r w:rsidRPr="005942C4">
        <w:rPr>
          <w:rFonts w:ascii="Times New Roman" w:hAnsi="Times New Roman" w:cs="Times New Roman"/>
          <w:sz w:val="22"/>
          <w:szCs w:val="22"/>
        </w:rPr>
        <w:t>-J (</w:t>
      </w:r>
      <w:r>
        <w:rPr>
          <w:rFonts w:ascii="Times New Roman" w:hAnsi="Times New Roman" w:cs="Times New Roman"/>
          <w:sz w:val="22"/>
          <w:szCs w:val="22"/>
        </w:rPr>
        <w:t xml:space="preserve">PoolRe Insurance Corp. – </w:t>
      </w:r>
      <w:r w:rsidRPr="005942C4">
        <w:rPr>
          <w:rFonts w:ascii="Times New Roman" w:hAnsi="Times New Roman" w:cs="Times New Roman"/>
          <w:sz w:val="22"/>
          <w:szCs w:val="22"/>
        </w:rPr>
        <w:t>20</w:t>
      </w:r>
      <w:r>
        <w:rPr>
          <w:rFonts w:ascii="Times New Roman" w:hAnsi="Times New Roman" w:cs="Times New Roman"/>
          <w:sz w:val="22"/>
          <w:szCs w:val="22"/>
        </w:rPr>
        <w:t>10</w:t>
      </w:r>
      <w:r w:rsidRPr="005942C4">
        <w:rPr>
          <w:rFonts w:ascii="Times New Roman" w:hAnsi="Times New Roman" w:cs="Times New Roman"/>
          <w:sz w:val="22"/>
          <w:szCs w:val="22"/>
        </w:rPr>
        <w:t xml:space="preserve"> Quota Share Reinsurance Policy), page 6.</w:t>
      </w:r>
    </w:p>
    <w:p w14:paraId="763E9C67" w14:textId="77777777" w:rsidR="00434620" w:rsidRPr="005942C4" w:rsidRDefault="00434620">
      <w:pPr>
        <w:pStyle w:val="EndnoteText"/>
        <w:rPr>
          <w:rFonts w:ascii="Times New Roman" w:hAnsi="Times New Roman" w:cs="Times New Roman"/>
          <w:sz w:val="22"/>
          <w:szCs w:val="22"/>
        </w:rPr>
      </w:pPr>
    </w:p>
  </w:endnote>
  <w:endnote w:id="76">
    <w:p w14:paraId="5B031AB8" w14:textId="77777777" w:rsidR="00434620" w:rsidRDefault="00434620" w:rsidP="002C2F26">
      <w:pPr>
        <w:pStyle w:val="EndnoteText"/>
        <w:rPr>
          <w:rFonts w:ascii="Times New Roman" w:hAnsi="Times New Roman" w:cs="Times New Roman"/>
          <w:sz w:val="22"/>
          <w:szCs w:val="22"/>
        </w:rPr>
      </w:pPr>
      <w:r w:rsidRPr="005942C4">
        <w:rPr>
          <w:rStyle w:val="EndnoteReference"/>
          <w:rFonts w:ascii="Times New Roman" w:hAnsi="Times New Roman" w:cs="Times New Roman"/>
          <w:sz w:val="22"/>
          <w:szCs w:val="22"/>
        </w:rPr>
        <w:endnoteRef/>
      </w:r>
      <w:r w:rsidRPr="005942C4">
        <w:rPr>
          <w:rFonts w:ascii="Times New Roman" w:hAnsi="Times New Roman" w:cs="Times New Roman"/>
          <w:sz w:val="22"/>
          <w:szCs w:val="22"/>
        </w:rPr>
        <w:t xml:space="preserve"> </w:t>
      </w:r>
      <w:r w:rsidRPr="00517040">
        <w:rPr>
          <w:rFonts w:ascii="Times New Roman" w:hAnsi="Times New Roman" w:cs="Times New Roman"/>
          <w:i/>
          <w:sz w:val="22"/>
          <w:szCs w:val="22"/>
        </w:rPr>
        <w:t>See</w:t>
      </w:r>
      <w:r w:rsidRPr="005942C4">
        <w:rPr>
          <w:rFonts w:ascii="Times New Roman" w:hAnsi="Times New Roman" w:cs="Times New Roman"/>
          <w:sz w:val="22"/>
          <w:szCs w:val="22"/>
        </w:rPr>
        <w:t xml:space="preserve"> </w:t>
      </w:r>
      <w:r w:rsidRPr="005942C4">
        <w:rPr>
          <w:rFonts w:ascii="Times New Roman" w:hAnsi="Times New Roman" w:cs="Times New Roman"/>
          <w:i/>
          <w:sz w:val="22"/>
          <w:szCs w:val="22"/>
        </w:rPr>
        <w:t>Avrahami</w:t>
      </w:r>
      <w:r w:rsidRPr="005942C4">
        <w:rPr>
          <w:rFonts w:ascii="Times New Roman" w:hAnsi="Times New Roman" w:cs="Times New Roman"/>
          <w:sz w:val="22"/>
          <w:szCs w:val="22"/>
        </w:rPr>
        <w:t xml:space="preserve"> at page </w:t>
      </w:r>
      <w:r>
        <w:rPr>
          <w:rFonts w:ascii="Times New Roman" w:hAnsi="Times New Roman" w:cs="Times New Roman"/>
          <w:sz w:val="22"/>
          <w:szCs w:val="22"/>
        </w:rPr>
        <w:t>78, where the court stated that “W</w:t>
      </w:r>
      <w:r w:rsidRPr="002C2F26">
        <w:rPr>
          <w:rFonts w:ascii="Times New Roman" w:hAnsi="Times New Roman" w:cs="Times New Roman"/>
          <w:sz w:val="22"/>
          <w:szCs w:val="22"/>
        </w:rPr>
        <w:t>e will not overlook the fact that the Avrahami entities made</w:t>
      </w:r>
      <w:r>
        <w:rPr>
          <w:rFonts w:ascii="Times New Roman" w:hAnsi="Times New Roman" w:cs="Times New Roman"/>
          <w:sz w:val="22"/>
          <w:szCs w:val="22"/>
        </w:rPr>
        <w:t xml:space="preserve"> </w:t>
      </w:r>
      <w:r w:rsidRPr="002C2F26">
        <w:rPr>
          <w:rFonts w:ascii="Times New Roman" w:hAnsi="Times New Roman" w:cs="Times New Roman"/>
          <w:sz w:val="22"/>
          <w:szCs w:val="22"/>
        </w:rPr>
        <w:t>no claims whatsoever against Feedback from its inception in 2007 until March</w:t>
      </w:r>
      <w:r>
        <w:rPr>
          <w:rFonts w:ascii="Times New Roman" w:hAnsi="Times New Roman" w:cs="Times New Roman"/>
          <w:sz w:val="22"/>
          <w:szCs w:val="22"/>
        </w:rPr>
        <w:t xml:space="preserve"> </w:t>
      </w:r>
      <w:r w:rsidRPr="002C2F26">
        <w:rPr>
          <w:rFonts w:ascii="Times New Roman" w:hAnsi="Times New Roman" w:cs="Times New Roman"/>
          <w:sz w:val="22"/>
          <w:szCs w:val="22"/>
        </w:rPr>
        <w:t>2013</w:t>
      </w:r>
      <w:r>
        <w:rPr>
          <w:rFonts w:ascii="Times New Roman" w:hAnsi="Times New Roman" w:cs="Times New Roman"/>
          <w:sz w:val="22"/>
          <w:szCs w:val="22"/>
        </w:rPr>
        <w:t xml:space="preserve"> – </w:t>
      </w:r>
      <w:r w:rsidRPr="002C2F26">
        <w:rPr>
          <w:rFonts w:ascii="Times New Roman" w:hAnsi="Times New Roman" w:cs="Times New Roman"/>
          <w:sz w:val="22"/>
          <w:szCs w:val="22"/>
        </w:rPr>
        <w:t>two months after the IRS sent the Avrahamis documents about the audits of</w:t>
      </w:r>
      <w:r>
        <w:rPr>
          <w:rFonts w:ascii="Times New Roman" w:hAnsi="Times New Roman" w:cs="Times New Roman"/>
          <w:sz w:val="22"/>
          <w:szCs w:val="22"/>
        </w:rPr>
        <w:t xml:space="preserve"> </w:t>
      </w:r>
      <w:r w:rsidRPr="002C2F26">
        <w:rPr>
          <w:rFonts w:ascii="Times New Roman" w:hAnsi="Times New Roman" w:cs="Times New Roman"/>
          <w:sz w:val="22"/>
          <w:szCs w:val="22"/>
        </w:rPr>
        <w:t>the returns of American Findings, Chandler One, O&amp;E, and White Knight that</w:t>
      </w:r>
      <w:r>
        <w:rPr>
          <w:rFonts w:ascii="Times New Roman" w:hAnsi="Times New Roman" w:cs="Times New Roman"/>
          <w:sz w:val="22"/>
          <w:szCs w:val="22"/>
        </w:rPr>
        <w:t xml:space="preserve"> </w:t>
      </w:r>
      <w:r w:rsidRPr="002C2F26">
        <w:rPr>
          <w:rFonts w:ascii="Times New Roman" w:hAnsi="Times New Roman" w:cs="Times New Roman"/>
          <w:sz w:val="22"/>
          <w:szCs w:val="22"/>
        </w:rPr>
        <w:t>suggested Feedback was a sham</w:t>
      </w:r>
      <w:r>
        <w:rPr>
          <w:rFonts w:ascii="Times New Roman" w:hAnsi="Times New Roman" w:cs="Times New Roman"/>
          <w:sz w:val="22"/>
          <w:szCs w:val="22"/>
        </w:rPr>
        <w:t>.”</w:t>
      </w:r>
    </w:p>
    <w:p w14:paraId="2124F610" w14:textId="77777777" w:rsidR="00434620" w:rsidRPr="005942C4" w:rsidRDefault="00434620" w:rsidP="002C2F26">
      <w:pPr>
        <w:pStyle w:val="EndnoteText"/>
        <w:rPr>
          <w:rFonts w:ascii="Times New Roman" w:hAnsi="Times New Roman" w:cs="Times New Roman"/>
          <w:sz w:val="22"/>
          <w:szCs w:val="22"/>
        </w:rPr>
      </w:pPr>
    </w:p>
  </w:endnote>
  <w:endnote w:id="77">
    <w:p w14:paraId="220088E6" w14:textId="77777777" w:rsidR="00434620" w:rsidRPr="001E1A3F" w:rsidRDefault="00434620" w:rsidP="00552344">
      <w:pPr>
        <w:pStyle w:val="EndnoteText"/>
        <w:rPr>
          <w:rFonts w:ascii="Times New Roman" w:hAnsi="Times New Roman" w:cs="Times New Roman"/>
          <w:sz w:val="22"/>
          <w:szCs w:val="22"/>
        </w:rPr>
      </w:pPr>
      <w:r w:rsidRPr="001E1A3F">
        <w:rPr>
          <w:rStyle w:val="EndnoteReference"/>
          <w:rFonts w:ascii="Times New Roman" w:hAnsi="Times New Roman" w:cs="Times New Roman"/>
          <w:sz w:val="22"/>
          <w:szCs w:val="22"/>
        </w:rPr>
        <w:endnoteRef/>
      </w:r>
      <w:r w:rsidRPr="001E1A3F">
        <w:rPr>
          <w:rFonts w:ascii="Times New Roman" w:hAnsi="Times New Roman" w:cs="Times New Roman"/>
          <w:sz w:val="22"/>
          <w:szCs w:val="22"/>
        </w:rPr>
        <w:t xml:space="preserve"> </w:t>
      </w:r>
      <w:r w:rsidRPr="00517040">
        <w:rPr>
          <w:rFonts w:ascii="Times New Roman" w:hAnsi="Times New Roman" w:cs="Times New Roman"/>
          <w:i/>
          <w:sz w:val="22"/>
          <w:szCs w:val="22"/>
        </w:rPr>
        <w:t>See</w:t>
      </w:r>
      <w:r w:rsidRPr="00977591">
        <w:rPr>
          <w:rFonts w:ascii="Times New Roman" w:hAnsi="Times New Roman" w:cs="Times New Roman"/>
          <w:sz w:val="22"/>
          <w:szCs w:val="22"/>
        </w:rPr>
        <w:t xml:space="preserve"> </w:t>
      </w:r>
      <w:r w:rsidRPr="00977591">
        <w:rPr>
          <w:rFonts w:ascii="Times New Roman" w:hAnsi="Times New Roman" w:cs="Times New Roman"/>
          <w:i/>
          <w:sz w:val="22"/>
          <w:szCs w:val="22"/>
        </w:rPr>
        <w:t>Avrahami</w:t>
      </w:r>
      <w:r w:rsidRPr="00977591">
        <w:rPr>
          <w:rFonts w:ascii="Times New Roman" w:hAnsi="Times New Roman" w:cs="Times New Roman"/>
          <w:sz w:val="22"/>
          <w:szCs w:val="22"/>
        </w:rPr>
        <w:t xml:space="preserve"> at page</w:t>
      </w:r>
      <w:r>
        <w:rPr>
          <w:rFonts w:ascii="Times New Roman" w:hAnsi="Times New Roman" w:cs="Times New Roman"/>
          <w:sz w:val="22"/>
          <w:szCs w:val="22"/>
        </w:rPr>
        <w:t>s 78-79</w:t>
      </w:r>
      <w:r w:rsidRPr="00977591">
        <w:rPr>
          <w:rFonts w:ascii="Times New Roman" w:hAnsi="Times New Roman" w:cs="Times New Roman"/>
          <w:sz w:val="22"/>
          <w:szCs w:val="22"/>
        </w:rPr>
        <w:t xml:space="preserve"> of the slip opinion, where the court stated that</w:t>
      </w:r>
      <w:r>
        <w:rPr>
          <w:rFonts w:ascii="Times New Roman" w:hAnsi="Times New Roman" w:cs="Times New Roman"/>
          <w:sz w:val="22"/>
          <w:szCs w:val="22"/>
        </w:rPr>
        <w:t xml:space="preserve"> “</w:t>
      </w:r>
      <w:r w:rsidRPr="00552344">
        <w:rPr>
          <w:rFonts w:ascii="Times New Roman" w:hAnsi="Times New Roman" w:cs="Times New Roman"/>
          <w:sz w:val="22"/>
          <w:szCs w:val="22"/>
        </w:rPr>
        <w:t>even the claims Feedback did receive it</w:t>
      </w:r>
      <w:r>
        <w:rPr>
          <w:rFonts w:ascii="Times New Roman" w:hAnsi="Times New Roman" w:cs="Times New Roman"/>
          <w:sz w:val="22"/>
          <w:szCs w:val="22"/>
        </w:rPr>
        <w:t xml:space="preserve"> </w:t>
      </w:r>
      <w:r w:rsidRPr="00552344">
        <w:rPr>
          <w:rFonts w:ascii="Times New Roman" w:hAnsi="Times New Roman" w:cs="Times New Roman"/>
          <w:sz w:val="22"/>
          <w:szCs w:val="22"/>
        </w:rPr>
        <w:t>dealt with in questionable ways. Most of the claims were approved despite being</w:t>
      </w:r>
      <w:r>
        <w:rPr>
          <w:rFonts w:ascii="Times New Roman" w:hAnsi="Times New Roman" w:cs="Times New Roman"/>
          <w:sz w:val="22"/>
          <w:szCs w:val="22"/>
        </w:rPr>
        <w:t xml:space="preserve"> </w:t>
      </w:r>
      <w:r w:rsidRPr="00552344">
        <w:rPr>
          <w:rFonts w:ascii="Times New Roman" w:hAnsi="Times New Roman" w:cs="Times New Roman"/>
          <w:sz w:val="22"/>
          <w:szCs w:val="22"/>
        </w:rPr>
        <w:t>filed late</w:t>
      </w:r>
      <w:r>
        <w:rPr>
          <w:rFonts w:ascii="Times New Roman" w:hAnsi="Times New Roman" w:cs="Times New Roman"/>
          <w:sz w:val="22"/>
          <w:szCs w:val="22"/>
        </w:rPr>
        <w:t xml:space="preserve"> – </w:t>
      </w:r>
      <w:r w:rsidRPr="00552344">
        <w:rPr>
          <w:rFonts w:ascii="Times New Roman" w:hAnsi="Times New Roman" w:cs="Times New Roman"/>
          <w:sz w:val="22"/>
          <w:szCs w:val="22"/>
        </w:rPr>
        <w:t>the policies required that Feedback be notified within 30 days of the</w:t>
      </w:r>
      <w:r>
        <w:rPr>
          <w:rFonts w:ascii="Times New Roman" w:hAnsi="Times New Roman" w:cs="Times New Roman"/>
          <w:sz w:val="22"/>
          <w:szCs w:val="22"/>
        </w:rPr>
        <w:t xml:space="preserve"> </w:t>
      </w:r>
      <w:r w:rsidRPr="00552344">
        <w:rPr>
          <w:rFonts w:ascii="Times New Roman" w:hAnsi="Times New Roman" w:cs="Times New Roman"/>
          <w:sz w:val="22"/>
          <w:szCs w:val="22"/>
        </w:rPr>
        <w:t xml:space="preserve">loss </w:t>
      </w:r>
      <w:r>
        <w:rPr>
          <w:rFonts w:ascii="Times New Roman" w:hAnsi="Times New Roman" w:cs="Times New Roman"/>
          <w:sz w:val="22"/>
          <w:szCs w:val="22"/>
        </w:rPr>
        <w:t>‘</w:t>
      </w:r>
      <w:r w:rsidRPr="00552344">
        <w:rPr>
          <w:rFonts w:ascii="Times New Roman" w:hAnsi="Times New Roman" w:cs="Times New Roman"/>
          <w:sz w:val="22"/>
          <w:szCs w:val="22"/>
        </w:rPr>
        <w:t>as a condition precedent to</w:t>
      </w:r>
      <w:r>
        <w:rPr>
          <w:rFonts w:ascii="Times New Roman" w:hAnsi="Times New Roman" w:cs="Times New Roman"/>
          <w:sz w:val="22"/>
          <w:szCs w:val="22"/>
        </w:rPr>
        <w:t xml:space="preserve"> </w:t>
      </w:r>
      <w:r w:rsidRPr="00552344">
        <w:rPr>
          <w:rFonts w:ascii="Times New Roman" w:hAnsi="Times New Roman" w:cs="Times New Roman"/>
          <w:sz w:val="22"/>
          <w:szCs w:val="22"/>
        </w:rPr>
        <w:t>payment of any benefit hereunder.</w:t>
      </w:r>
      <w:r>
        <w:rPr>
          <w:rFonts w:ascii="Times New Roman" w:hAnsi="Times New Roman" w:cs="Times New Roman"/>
          <w:sz w:val="22"/>
          <w:szCs w:val="22"/>
        </w:rPr>
        <w:t>’</w:t>
      </w:r>
      <w:r w:rsidRPr="00552344">
        <w:rPr>
          <w:rFonts w:ascii="Times New Roman" w:hAnsi="Times New Roman" w:cs="Times New Roman"/>
          <w:sz w:val="22"/>
          <w:szCs w:val="22"/>
        </w:rPr>
        <w:t xml:space="preserve"> And Heritor</w:t>
      </w:r>
      <w:r>
        <w:rPr>
          <w:rFonts w:ascii="Times New Roman" w:hAnsi="Times New Roman" w:cs="Times New Roman"/>
          <w:sz w:val="22"/>
          <w:szCs w:val="22"/>
        </w:rPr>
        <w:t xml:space="preserve"> </w:t>
      </w:r>
      <w:r w:rsidRPr="00552344">
        <w:rPr>
          <w:rFonts w:ascii="Times New Roman" w:hAnsi="Times New Roman" w:cs="Times New Roman"/>
          <w:sz w:val="22"/>
          <w:szCs w:val="22"/>
        </w:rPr>
        <w:t>approved White Knight’s claim for a new roof despite a lack of evidence about the</w:t>
      </w:r>
      <w:r>
        <w:rPr>
          <w:rFonts w:ascii="Times New Roman" w:hAnsi="Times New Roman" w:cs="Times New Roman"/>
          <w:sz w:val="22"/>
          <w:szCs w:val="22"/>
        </w:rPr>
        <w:t xml:space="preserve"> </w:t>
      </w:r>
      <w:r w:rsidRPr="00552344">
        <w:rPr>
          <w:rFonts w:ascii="Times New Roman" w:hAnsi="Times New Roman" w:cs="Times New Roman"/>
          <w:sz w:val="22"/>
          <w:szCs w:val="22"/>
        </w:rPr>
        <w:t>cause of the damage.</w:t>
      </w:r>
      <w:r>
        <w:rPr>
          <w:rFonts w:ascii="Times New Roman" w:hAnsi="Times New Roman" w:cs="Times New Roman"/>
          <w:sz w:val="22"/>
          <w:szCs w:val="22"/>
        </w:rPr>
        <w:t>”</w:t>
      </w:r>
    </w:p>
    <w:p w14:paraId="0990A52B" w14:textId="77777777" w:rsidR="00434620" w:rsidRPr="001E1A3F" w:rsidRDefault="00434620">
      <w:pPr>
        <w:pStyle w:val="EndnoteText"/>
        <w:rPr>
          <w:rFonts w:ascii="Times New Roman" w:hAnsi="Times New Roman" w:cs="Times New Roman"/>
          <w:sz w:val="22"/>
          <w:szCs w:val="22"/>
        </w:rPr>
      </w:pPr>
    </w:p>
  </w:endnote>
  <w:endnote w:id="78">
    <w:p w14:paraId="0D1D0C49" w14:textId="78F448F9" w:rsidR="00434620" w:rsidRDefault="00434620">
      <w:pPr>
        <w:pStyle w:val="EndnoteText"/>
        <w:rPr>
          <w:rFonts w:ascii="Times New Roman" w:hAnsi="Times New Roman" w:cs="Times New Roman"/>
          <w:sz w:val="22"/>
          <w:szCs w:val="22"/>
        </w:rPr>
      </w:pPr>
      <w:r w:rsidRPr="001E1A3F">
        <w:rPr>
          <w:rStyle w:val="EndnoteReference"/>
          <w:rFonts w:ascii="Times New Roman" w:hAnsi="Times New Roman" w:cs="Times New Roman"/>
          <w:sz w:val="22"/>
          <w:szCs w:val="22"/>
        </w:rPr>
        <w:endnoteRef/>
      </w:r>
      <w:r w:rsidRPr="001E1A3F">
        <w:rPr>
          <w:rFonts w:ascii="Times New Roman" w:hAnsi="Times New Roman" w:cs="Times New Roman"/>
          <w:sz w:val="22"/>
          <w:szCs w:val="22"/>
        </w:rPr>
        <w:t xml:space="preserve"> </w:t>
      </w:r>
      <w:r w:rsidRPr="00517040">
        <w:rPr>
          <w:rFonts w:ascii="Times New Roman" w:hAnsi="Times New Roman" w:cs="Times New Roman"/>
          <w:i/>
          <w:sz w:val="22"/>
          <w:szCs w:val="22"/>
        </w:rPr>
        <w:t>See</w:t>
      </w:r>
      <w:r w:rsidRPr="000815BA">
        <w:rPr>
          <w:rFonts w:ascii="Times New Roman" w:hAnsi="Times New Roman" w:cs="Times New Roman"/>
          <w:sz w:val="22"/>
          <w:szCs w:val="22"/>
        </w:rPr>
        <w:t xml:space="preserve"> Exhibit 89-J (check </w:t>
      </w:r>
      <w:r>
        <w:rPr>
          <w:rFonts w:ascii="Times New Roman" w:hAnsi="Times New Roman" w:cs="Times New Roman"/>
          <w:sz w:val="22"/>
          <w:szCs w:val="22"/>
        </w:rPr>
        <w:t>for</w:t>
      </w:r>
      <w:r w:rsidRPr="000815BA">
        <w:rPr>
          <w:rFonts w:ascii="Times New Roman" w:hAnsi="Times New Roman" w:cs="Times New Roman"/>
          <w:sz w:val="22"/>
          <w:szCs w:val="22"/>
        </w:rPr>
        <w:t xml:space="preserve"> claim payment to Peak Mechanical and Components, Inc. </w:t>
      </w:r>
      <w:r>
        <w:rPr>
          <w:rFonts w:ascii="Times New Roman" w:hAnsi="Times New Roman" w:cs="Times New Roman"/>
          <w:sz w:val="22"/>
          <w:szCs w:val="22"/>
        </w:rPr>
        <w:t>in amount of</w:t>
      </w:r>
      <w:r w:rsidRPr="000815BA">
        <w:rPr>
          <w:rFonts w:ascii="Times New Roman" w:hAnsi="Times New Roman" w:cs="Times New Roman"/>
          <w:sz w:val="22"/>
          <w:szCs w:val="22"/>
        </w:rPr>
        <w:t xml:space="preserve"> $150,000 on 4/21/09), Exhibit 91-J (check </w:t>
      </w:r>
      <w:r>
        <w:rPr>
          <w:rFonts w:ascii="Times New Roman" w:hAnsi="Times New Roman" w:cs="Times New Roman"/>
          <w:sz w:val="22"/>
          <w:szCs w:val="22"/>
        </w:rPr>
        <w:t>for</w:t>
      </w:r>
      <w:r w:rsidRPr="000815BA">
        <w:rPr>
          <w:rFonts w:ascii="Times New Roman" w:hAnsi="Times New Roman" w:cs="Times New Roman"/>
          <w:sz w:val="22"/>
          <w:szCs w:val="22"/>
        </w:rPr>
        <w:t xml:space="preserve"> claim payment to Peak Mechanical and Components, Inc. </w:t>
      </w:r>
      <w:r>
        <w:rPr>
          <w:rFonts w:ascii="Times New Roman" w:hAnsi="Times New Roman" w:cs="Times New Roman"/>
          <w:sz w:val="22"/>
          <w:szCs w:val="22"/>
        </w:rPr>
        <w:t>in amount of</w:t>
      </w:r>
      <w:r w:rsidRPr="000815BA">
        <w:rPr>
          <w:rFonts w:ascii="Times New Roman" w:hAnsi="Times New Roman" w:cs="Times New Roman"/>
          <w:sz w:val="22"/>
          <w:szCs w:val="22"/>
        </w:rPr>
        <w:t xml:space="preserve"> $14,980 on 5/27/09), and Exhibit 92-J (check </w:t>
      </w:r>
      <w:r>
        <w:rPr>
          <w:rFonts w:ascii="Times New Roman" w:hAnsi="Times New Roman" w:cs="Times New Roman"/>
          <w:sz w:val="22"/>
          <w:szCs w:val="22"/>
        </w:rPr>
        <w:t>for</w:t>
      </w:r>
      <w:r w:rsidRPr="000815BA">
        <w:rPr>
          <w:rFonts w:ascii="Times New Roman" w:hAnsi="Times New Roman" w:cs="Times New Roman"/>
          <w:sz w:val="22"/>
          <w:szCs w:val="22"/>
        </w:rPr>
        <w:t xml:space="preserve"> claim payment to Peak Mechanical and Components, Inc. </w:t>
      </w:r>
      <w:r>
        <w:rPr>
          <w:rFonts w:ascii="Times New Roman" w:hAnsi="Times New Roman" w:cs="Times New Roman"/>
          <w:sz w:val="22"/>
          <w:szCs w:val="22"/>
        </w:rPr>
        <w:t xml:space="preserve">in amount of </w:t>
      </w:r>
      <w:r w:rsidRPr="000815BA">
        <w:rPr>
          <w:rFonts w:ascii="Times New Roman" w:hAnsi="Times New Roman" w:cs="Times New Roman"/>
          <w:sz w:val="22"/>
          <w:szCs w:val="22"/>
        </w:rPr>
        <w:t xml:space="preserve">$175,000 on 9/10/09.  </w:t>
      </w:r>
      <w:r w:rsidRPr="00517040">
        <w:rPr>
          <w:rFonts w:ascii="Times New Roman" w:hAnsi="Times New Roman" w:cs="Times New Roman"/>
          <w:i/>
          <w:sz w:val="22"/>
          <w:szCs w:val="22"/>
        </w:rPr>
        <w:t>See also</w:t>
      </w:r>
      <w:r w:rsidRPr="000815BA">
        <w:rPr>
          <w:rFonts w:ascii="Times New Roman" w:hAnsi="Times New Roman" w:cs="Times New Roman"/>
          <w:sz w:val="22"/>
          <w:szCs w:val="22"/>
        </w:rPr>
        <w:t xml:space="preserve"> Exhibit 90-J (Settlement and Release Agreement Between Reserve Casualty Corp. and Peak Mechanical and Components, Inc. executed on 5/27/09) and Exhibit 93-J (Settlement and Release Agreement Addendum No. 1 Between Reserve Casualty Corp. and Peak Mechanical and Components, Inc. executed on 1/30/12).</w:t>
      </w:r>
    </w:p>
    <w:p w14:paraId="2E6CFFB2" w14:textId="77777777" w:rsidR="00434620" w:rsidRPr="001E1A3F" w:rsidRDefault="00434620">
      <w:pPr>
        <w:pStyle w:val="EndnoteText"/>
        <w:rPr>
          <w:rFonts w:ascii="Times New Roman" w:hAnsi="Times New Roman" w:cs="Times New Roman"/>
          <w:sz w:val="22"/>
          <w:szCs w:val="22"/>
        </w:rPr>
      </w:pPr>
    </w:p>
  </w:endnote>
  <w:endnote w:id="79">
    <w:p w14:paraId="269A2BD4" w14:textId="77777777" w:rsidR="00434620" w:rsidRDefault="00434620">
      <w:pPr>
        <w:pStyle w:val="EndnoteText"/>
        <w:rPr>
          <w:rFonts w:ascii="Times New Roman" w:hAnsi="Times New Roman" w:cs="Times New Roman"/>
          <w:sz w:val="22"/>
          <w:szCs w:val="22"/>
        </w:rPr>
      </w:pPr>
      <w:r w:rsidRPr="002A4609">
        <w:rPr>
          <w:rStyle w:val="EndnoteReference"/>
          <w:rFonts w:ascii="Times New Roman" w:hAnsi="Times New Roman" w:cs="Times New Roman"/>
          <w:sz w:val="22"/>
          <w:szCs w:val="22"/>
        </w:rPr>
        <w:endnoteRef/>
      </w:r>
      <w:r w:rsidRPr="002A4609">
        <w:rPr>
          <w:rFonts w:ascii="Times New Roman" w:hAnsi="Times New Roman" w:cs="Times New Roman"/>
          <w:sz w:val="22"/>
          <w:szCs w:val="22"/>
        </w:rPr>
        <w:t xml:space="preserve"> </w:t>
      </w:r>
      <w:r w:rsidRPr="00517040">
        <w:rPr>
          <w:rFonts w:ascii="Times New Roman" w:hAnsi="Times New Roman" w:cs="Times New Roman"/>
          <w:i/>
          <w:sz w:val="22"/>
          <w:szCs w:val="22"/>
        </w:rPr>
        <w:t>See</w:t>
      </w:r>
      <w:r w:rsidRPr="00D0082B">
        <w:rPr>
          <w:rFonts w:ascii="Times New Roman" w:hAnsi="Times New Roman" w:cs="Times New Roman"/>
          <w:sz w:val="22"/>
          <w:szCs w:val="22"/>
        </w:rPr>
        <w:t xml:space="preserve"> </w:t>
      </w:r>
      <w:r w:rsidRPr="00475286">
        <w:rPr>
          <w:rFonts w:ascii="Times New Roman" w:hAnsi="Times New Roman" w:cs="Times New Roman"/>
          <w:i/>
          <w:sz w:val="22"/>
          <w:szCs w:val="22"/>
        </w:rPr>
        <w:t>Reserve</w:t>
      </w:r>
      <w:r>
        <w:rPr>
          <w:rFonts w:ascii="Times New Roman" w:hAnsi="Times New Roman" w:cs="Times New Roman"/>
          <w:sz w:val="22"/>
          <w:szCs w:val="22"/>
        </w:rPr>
        <w:t xml:space="preserve"> </w:t>
      </w:r>
      <w:r w:rsidRPr="00D0082B">
        <w:rPr>
          <w:rFonts w:ascii="Times New Roman" w:hAnsi="Times New Roman" w:cs="Times New Roman"/>
          <w:sz w:val="22"/>
          <w:szCs w:val="22"/>
        </w:rPr>
        <w:t>at page 41.</w:t>
      </w:r>
    </w:p>
    <w:p w14:paraId="03902788" w14:textId="77777777" w:rsidR="00434620" w:rsidRPr="00D0082B" w:rsidRDefault="00434620">
      <w:pPr>
        <w:pStyle w:val="EndnoteText"/>
        <w:rPr>
          <w:rFonts w:ascii="Times New Roman" w:hAnsi="Times New Roman" w:cs="Times New Roman"/>
          <w:sz w:val="22"/>
          <w:szCs w:val="22"/>
        </w:rPr>
      </w:pPr>
    </w:p>
  </w:endnote>
  <w:endnote w:id="80">
    <w:p w14:paraId="4C4932C5" w14:textId="22FB623F" w:rsidR="00434620" w:rsidRDefault="00434620">
      <w:pPr>
        <w:pStyle w:val="EndnoteText"/>
        <w:rPr>
          <w:rFonts w:ascii="Times New Roman" w:hAnsi="Times New Roman" w:cs="Times New Roman"/>
        </w:rPr>
      </w:pPr>
      <w:r w:rsidRPr="00475286">
        <w:rPr>
          <w:rStyle w:val="EndnoteReference"/>
          <w:rFonts w:ascii="Times New Roman" w:hAnsi="Times New Roman" w:cs="Times New Roman"/>
        </w:rPr>
        <w:endnoteRef/>
      </w:r>
      <w:r w:rsidRPr="00475286">
        <w:rPr>
          <w:rFonts w:ascii="Times New Roman" w:hAnsi="Times New Roman" w:cs="Times New Roman"/>
        </w:rPr>
        <w:t xml:space="preserve"> </w:t>
      </w:r>
      <w:r w:rsidRPr="00517040">
        <w:rPr>
          <w:rFonts w:ascii="Times New Roman" w:hAnsi="Times New Roman" w:cs="Times New Roman"/>
          <w:i/>
          <w:sz w:val="22"/>
          <w:szCs w:val="22"/>
        </w:rPr>
        <w:t>See</w:t>
      </w:r>
      <w:r>
        <w:rPr>
          <w:rFonts w:ascii="Times New Roman" w:hAnsi="Times New Roman" w:cs="Times New Roman"/>
          <w:sz w:val="22"/>
          <w:szCs w:val="22"/>
        </w:rPr>
        <w:t xml:space="preserve"> Note 30</w:t>
      </w:r>
      <w:r w:rsidRPr="00475286">
        <w:rPr>
          <w:rFonts w:ascii="Times New Roman" w:hAnsi="Times New Roman" w:cs="Times New Roman"/>
          <w:sz w:val="22"/>
          <w:szCs w:val="22"/>
        </w:rPr>
        <w:t xml:space="preserve"> supra regarding insurance industry pooling arrangements</w:t>
      </w:r>
      <w:r>
        <w:rPr>
          <w:rFonts w:ascii="Times New Roman" w:hAnsi="Times New Roman" w:cs="Times New Roman"/>
          <w:sz w:val="22"/>
          <w:szCs w:val="22"/>
        </w:rPr>
        <w:t xml:space="preserve"> that rebuke the Court’s criticisms</w:t>
      </w:r>
      <w:r w:rsidRPr="00475286">
        <w:rPr>
          <w:rFonts w:ascii="Times New Roman" w:hAnsi="Times New Roman" w:cs="Times New Roman"/>
          <w:sz w:val="22"/>
          <w:szCs w:val="22"/>
        </w:rPr>
        <w:t>.</w:t>
      </w:r>
      <w:r w:rsidRPr="00475286">
        <w:rPr>
          <w:rFonts w:ascii="Times New Roman" w:hAnsi="Times New Roman" w:cs="Times New Roman"/>
        </w:rPr>
        <w:t xml:space="preserve"> </w:t>
      </w:r>
    </w:p>
    <w:p w14:paraId="20F4CB8D" w14:textId="77777777" w:rsidR="00434620" w:rsidRPr="00475286" w:rsidRDefault="00434620">
      <w:pPr>
        <w:pStyle w:val="EndnoteText"/>
        <w:rPr>
          <w:rFonts w:ascii="Times New Roman" w:hAnsi="Times New Roman" w:cs="Times New Roman"/>
        </w:rPr>
      </w:pPr>
    </w:p>
  </w:endnote>
  <w:endnote w:id="81">
    <w:p w14:paraId="2F2D8968" w14:textId="77777777" w:rsidR="00434620" w:rsidRDefault="00434620" w:rsidP="00CE1893">
      <w:pPr>
        <w:pStyle w:val="EndnoteText"/>
        <w:rPr>
          <w:rFonts w:ascii="Times New Roman" w:hAnsi="Times New Roman" w:cs="Times New Roman"/>
          <w:sz w:val="22"/>
          <w:szCs w:val="22"/>
        </w:rPr>
      </w:pPr>
      <w:r w:rsidRPr="000147D3">
        <w:rPr>
          <w:rStyle w:val="EndnoteReference"/>
          <w:rFonts w:ascii="Times New Roman" w:hAnsi="Times New Roman" w:cs="Times New Roman"/>
          <w:sz w:val="22"/>
          <w:szCs w:val="22"/>
        </w:rPr>
        <w:endnoteRef/>
      </w:r>
      <w:r w:rsidRPr="000147D3">
        <w:rPr>
          <w:rFonts w:ascii="Times New Roman" w:hAnsi="Times New Roman" w:cs="Times New Roman"/>
          <w:sz w:val="22"/>
          <w:szCs w:val="22"/>
        </w:rPr>
        <w:t xml:space="preserve"> </w:t>
      </w:r>
      <w:r>
        <w:rPr>
          <w:rFonts w:ascii="Times New Roman" w:hAnsi="Times New Roman" w:cs="Times New Roman"/>
          <w:sz w:val="22"/>
          <w:szCs w:val="22"/>
        </w:rPr>
        <w:t xml:space="preserve"> </w:t>
      </w:r>
      <w:r w:rsidRPr="00517040">
        <w:rPr>
          <w:rFonts w:ascii="Times New Roman" w:hAnsi="Times New Roman" w:cs="Times New Roman"/>
          <w:i/>
          <w:sz w:val="22"/>
          <w:szCs w:val="22"/>
        </w:rPr>
        <w:t>See</w:t>
      </w:r>
      <w:r>
        <w:rPr>
          <w:rFonts w:ascii="Times New Roman" w:hAnsi="Times New Roman" w:cs="Times New Roman"/>
          <w:sz w:val="22"/>
          <w:szCs w:val="22"/>
        </w:rPr>
        <w:t xml:space="preserve"> </w:t>
      </w:r>
      <w:r w:rsidRPr="000147D3">
        <w:rPr>
          <w:rFonts w:ascii="Times New Roman" w:hAnsi="Times New Roman" w:cs="Times New Roman"/>
          <w:sz w:val="22"/>
          <w:szCs w:val="22"/>
        </w:rPr>
        <w:t>Consolidated Appropriations Act of 2015</w:t>
      </w:r>
      <w:r>
        <w:rPr>
          <w:rFonts w:ascii="Times New Roman" w:hAnsi="Times New Roman" w:cs="Times New Roman"/>
          <w:sz w:val="22"/>
          <w:szCs w:val="22"/>
        </w:rPr>
        <w:t xml:space="preserve"> (</w:t>
      </w:r>
      <w:r w:rsidRPr="000147D3">
        <w:rPr>
          <w:rFonts w:ascii="Times New Roman" w:hAnsi="Times New Roman" w:cs="Times New Roman"/>
          <w:sz w:val="22"/>
          <w:szCs w:val="22"/>
        </w:rPr>
        <w:t>also known as the Protecting Americans From Tax Hikes Act (the “PATH” Act) of 2015</w:t>
      </w:r>
      <w:r>
        <w:rPr>
          <w:rFonts w:ascii="Times New Roman" w:hAnsi="Times New Roman" w:cs="Times New Roman"/>
          <w:sz w:val="22"/>
          <w:szCs w:val="22"/>
        </w:rPr>
        <w:t>)</w:t>
      </w:r>
      <w:r w:rsidRPr="000147D3">
        <w:rPr>
          <w:rFonts w:ascii="Times New Roman" w:hAnsi="Times New Roman" w:cs="Times New Roman"/>
          <w:sz w:val="22"/>
          <w:szCs w:val="22"/>
        </w:rPr>
        <w:t xml:space="preserve">, which </w:t>
      </w:r>
      <w:r>
        <w:rPr>
          <w:rFonts w:ascii="Times New Roman" w:hAnsi="Times New Roman" w:cs="Times New Roman"/>
          <w:sz w:val="22"/>
          <w:szCs w:val="22"/>
        </w:rPr>
        <w:t xml:space="preserve">was </w:t>
      </w:r>
      <w:r w:rsidRPr="000147D3">
        <w:rPr>
          <w:rFonts w:ascii="Times New Roman" w:hAnsi="Times New Roman" w:cs="Times New Roman"/>
          <w:sz w:val="22"/>
          <w:szCs w:val="22"/>
        </w:rPr>
        <w:t>effective for tax years beginning after December 31, 2016.</w:t>
      </w:r>
      <w:r>
        <w:rPr>
          <w:rFonts w:ascii="Times New Roman" w:hAnsi="Times New Roman" w:cs="Times New Roman"/>
          <w:sz w:val="22"/>
          <w:szCs w:val="22"/>
        </w:rPr>
        <w:t xml:space="preserve">  T</w:t>
      </w:r>
      <w:r w:rsidRPr="00947AC5">
        <w:rPr>
          <w:rFonts w:ascii="Times New Roman" w:hAnsi="Times New Roman" w:cs="Times New Roman"/>
          <w:sz w:val="22"/>
          <w:szCs w:val="22"/>
        </w:rPr>
        <w:t xml:space="preserve">he PATH Act added a new “diversification requirement” that basically eliminates </w:t>
      </w:r>
      <w:r>
        <w:rPr>
          <w:rFonts w:ascii="Times New Roman" w:hAnsi="Times New Roman" w:cs="Times New Roman"/>
          <w:sz w:val="22"/>
          <w:szCs w:val="22"/>
        </w:rPr>
        <w:t xml:space="preserve">an </w:t>
      </w:r>
      <w:r w:rsidRPr="00947AC5">
        <w:rPr>
          <w:rFonts w:ascii="Times New Roman" w:hAnsi="Times New Roman" w:cs="Times New Roman"/>
          <w:sz w:val="22"/>
          <w:szCs w:val="22"/>
        </w:rPr>
        <w:t xml:space="preserve">estate planning </w:t>
      </w:r>
      <w:r>
        <w:rPr>
          <w:rFonts w:ascii="Times New Roman" w:hAnsi="Times New Roman" w:cs="Times New Roman"/>
          <w:sz w:val="22"/>
          <w:szCs w:val="22"/>
        </w:rPr>
        <w:t xml:space="preserve">benefit </w:t>
      </w:r>
      <w:r w:rsidRPr="00947AC5">
        <w:rPr>
          <w:rFonts w:ascii="Times New Roman" w:hAnsi="Times New Roman" w:cs="Times New Roman"/>
          <w:sz w:val="22"/>
          <w:szCs w:val="22"/>
        </w:rPr>
        <w:t>from a captive operating under IRC §831(b)</w:t>
      </w:r>
      <w:r>
        <w:rPr>
          <w:rFonts w:ascii="Times New Roman" w:hAnsi="Times New Roman" w:cs="Times New Roman"/>
          <w:sz w:val="22"/>
          <w:szCs w:val="22"/>
        </w:rPr>
        <w:t xml:space="preserve"> but not otherwise</w:t>
      </w:r>
      <w:r w:rsidRPr="00947AC5">
        <w:rPr>
          <w:rFonts w:ascii="Times New Roman" w:hAnsi="Times New Roman" w:cs="Times New Roman"/>
          <w:sz w:val="22"/>
          <w:szCs w:val="22"/>
        </w:rPr>
        <w:t>.</w:t>
      </w:r>
      <w:r>
        <w:rPr>
          <w:rFonts w:ascii="Times New Roman" w:hAnsi="Times New Roman" w:cs="Times New Roman"/>
          <w:sz w:val="22"/>
          <w:szCs w:val="22"/>
        </w:rPr>
        <w:t xml:space="preserve">  </w:t>
      </w:r>
      <w:r w:rsidRPr="002A16C3">
        <w:rPr>
          <w:rFonts w:ascii="Times New Roman" w:hAnsi="Times New Roman" w:cs="Times New Roman"/>
          <w:sz w:val="22"/>
          <w:szCs w:val="22"/>
        </w:rPr>
        <w:t>Th</w:t>
      </w:r>
      <w:r>
        <w:rPr>
          <w:rFonts w:ascii="Times New Roman" w:hAnsi="Times New Roman" w:cs="Times New Roman"/>
          <w:sz w:val="22"/>
          <w:szCs w:val="22"/>
        </w:rPr>
        <w:t xml:space="preserve">is diversification requirement can be met by a captive satisfying one of two alternative tests.  The second test for satisfying this diversification requirement essentially </w:t>
      </w:r>
      <w:r w:rsidRPr="002A16C3">
        <w:rPr>
          <w:rFonts w:ascii="Times New Roman" w:hAnsi="Times New Roman" w:cs="Times New Roman"/>
          <w:sz w:val="22"/>
          <w:szCs w:val="22"/>
        </w:rPr>
        <w:t>require</w:t>
      </w:r>
      <w:r>
        <w:rPr>
          <w:rFonts w:ascii="Times New Roman" w:hAnsi="Times New Roman" w:cs="Times New Roman"/>
          <w:sz w:val="22"/>
          <w:szCs w:val="22"/>
        </w:rPr>
        <w:t>s</w:t>
      </w:r>
      <w:r w:rsidRPr="002A16C3">
        <w:rPr>
          <w:rFonts w:ascii="Times New Roman" w:hAnsi="Times New Roman" w:cs="Times New Roman"/>
          <w:sz w:val="22"/>
          <w:szCs w:val="22"/>
        </w:rPr>
        <w:t xml:space="preserve"> ownership of </w:t>
      </w:r>
      <w:r>
        <w:rPr>
          <w:rFonts w:ascii="Times New Roman" w:hAnsi="Times New Roman" w:cs="Times New Roman"/>
          <w:sz w:val="22"/>
          <w:szCs w:val="22"/>
        </w:rPr>
        <w:t xml:space="preserve">the insurer to </w:t>
      </w:r>
      <w:r w:rsidRPr="002A16C3">
        <w:rPr>
          <w:rFonts w:ascii="Times New Roman" w:hAnsi="Times New Roman" w:cs="Times New Roman"/>
          <w:sz w:val="22"/>
          <w:szCs w:val="22"/>
        </w:rPr>
        <w:t xml:space="preserve">mirror ownership of the insurance company. </w:t>
      </w:r>
      <w:r>
        <w:rPr>
          <w:rFonts w:ascii="Times New Roman" w:hAnsi="Times New Roman" w:cs="Times New Roman"/>
          <w:sz w:val="22"/>
          <w:szCs w:val="22"/>
        </w:rPr>
        <w:t xml:space="preserve">The PATH Act also increased from $1.2 million to now $2.3 million the cap on premiums for an insurer operating under Code Section 831(b).  So, while this Court is concluding that affiliated insurance arrangements are unacceptable on a wide variety of grounds (essentially an alleged circuitous flow of funds), Congress was almost doubling the caps on the tax provision. Section 821(b)((2)(A)(i). </w:t>
      </w:r>
    </w:p>
    <w:p w14:paraId="00FD2C75" w14:textId="77777777" w:rsidR="00434620" w:rsidRPr="000147D3" w:rsidRDefault="00434620" w:rsidP="00CE1893">
      <w:pPr>
        <w:pStyle w:val="EndnoteText"/>
        <w:rPr>
          <w:rFonts w:ascii="Times New Roman" w:hAnsi="Times New Roman" w:cs="Times New Roman"/>
          <w:sz w:val="22"/>
          <w:szCs w:val="22"/>
        </w:rPr>
      </w:pPr>
    </w:p>
  </w:endnote>
  <w:endnote w:id="82">
    <w:p w14:paraId="0B9F3789" w14:textId="77777777" w:rsidR="00434620" w:rsidRPr="00C86E33" w:rsidRDefault="00434620" w:rsidP="00A8711D">
      <w:pPr>
        <w:autoSpaceDE w:val="0"/>
        <w:autoSpaceDN w:val="0"/>
        <w:adjustRightInd w:val="0"/>
        <w:spacing w:after="0" w:line="240" w:lineRule="auto"/>
        <w:rPr>
          <w:rFonts w:ascii="Times New Roman" w:hAnsi="Times New Roman" w:cs="Times New Roman"/>
          <w:color w:val="000000" w:themeColor="text1"/>
        </w:rPr>
      </w:pPr>
      <w:r w:rsidRPr="00B90E09">
        <w:rPr>
          <w:rStyle w:val="EndnoteReference"/>
          <w:rFonts w:ascii="Times New Roman" w:hAnsi="Times New Roman" w:cs="Times New Roman"/>
        </w:rPr>
        <w:endnoteRef/>
      </w:r>
      <w:r w:rsidRPr="00B90E09">
        <w:rPr>
          <w:rFonts w:ascii="Times New Roman" w:hAnsi="Times New Roman" w:cs="Times New Roman"/>
        </w:rPr>
        <w:t xml:space="preserve"> Th</w:t>
      </w:r>
      <w:r>
        <w:rPr>
          <w:rFonts w:ascii="Times New Roman" w:hAnsi="Times New Roman" w:cs="Times New Roman"/>
        </w:rPr>
        <w:t>e</w:t>
      </w:r>
      <w:r w:rsidRPr="00B90E09">
        <w:rPr>
          <w:rFonts w:ascii="Times New Roman" w:hAnsi="Times New Roman" w:cs="Times New Roman"/>
        </w:rPr>
        <w:t xml:space="preserve"> Court’s limited analysis in </w:t>
      </w:r>
      <w:r w:rsidRPr="003A21F9">
        <w:rPr>
          <w:rFonts w:ascii="Times New Roman" w:hAnsi="Times New Roman" w:cs="Times New Roman"/>
          <w:i/>
        </w:rPr>
        <w:t>Reserve</w:t>
      </w:r>
      <w:r w:rsidRPr="00B90E09">
        <w:rPr>
          <w:rFonts w:ascii="Times New Roman" w:hAnsi="Times New Roman" w:cs="Times New Roman"/>
        </w:rPr>
        <w:t xml:space="preserve"> focused on what it thought the law should be – putting itself into a legislative role – despite the taxpayers’ compliance with the substance and form of what has been set out by Congress in legislation and what over decades has been interpreted by the courts.  Appellate courts have recently made clear to this same Court that its role is not to block Congress’ legislation enabling a taxpayer to qualify for tax benefits as a result of satisfying the precise requirements of the relevant section of the Internal Revenue Code.  </w:t>
      </w:r>
      <w:r w:rsidRPr="00517040">
        <w:rPr>
          <w:rFonts w:ascii="Times New Roman" w:hAnsi="Times New Roman" w:cs="Times New Roman"/>
          <w:i/>
        </w:rPr>
        <w:t>See</w:t>
      </w:r>
      <w:r>
        <w:rPr>
          <w:rFonts w:ascii="Times New Roman" w:hAnsi="Times New Roman" w:cs="Times New Roman"/>
        </w:rPr>
        <w:t xml:space="preserve"> </w:t>
      </w:r>
      <w:r w:rsidRPr="00050AB8">
        <w:rPr>
          <w:rFonts w:ascii="Times New Roman" w:hAnsi="Times New Roman" w:cs="Times New Roman"/>
          <w:i/>
        </w:rPr>
        <w:t>Summa Holdings Inc. v. Commissioner</w:t>
      </w:r>
      <w:r w:rsidRPr="00B90E09">
        <w:rPr>
          <w:rFonts w:ascii="Times New Roman" w:hAnsi="Times New Roman" w:cs="Times New Roman"/>
        </w:rPr>
        <w:t>,</w:t>
      </w:r>
      <w:r>
        <w:rPr>
          <w:rFonts w:ascii="Times New Roman" w:hAnsi="Times New Roman" w:cs="Times New Roman"/>
        </w:rPr>
        <w:t xml:space="preserve"> </w:t>
      </w:r>
      <w:r w:rsidRPr="009E2DA8">
        <w:rPr>
          <w:rFonts w:ascii="Times New Roman" w:hAnsi="Times New Roman" w:cs="Times New Roman"/>
        </w:rPr>
        <w:t xml:space="preserve">848 F.3d 779 (6th Cir. </w:t>
      </w:r>
      <w:r w:rsidRPr="00B42E2A">
        <w:rPr>
          <w:rFonts w:ascii="Times New Roman" w:hAnsi="Times New Roman" w:cs="Times New Roman"/>
        </w:rPr>
        <w:t xml:space="preserve">2017), where the Sixth Circuit reversed the tax court and held that the taxpayers in </w:t>
      </w:r>
      <w:r w:rsidRPr="00B42E2A">
        <w:rPr>
          <w:rFonts w:ascii="Times New Roman" w:hAnsi="Times New Roman" w:cs="Times New Roman"/>
          <w:i/>
        </w:rPr>
        <w:t>Summa</w:t>
      </w:r>
      <w:r w:rsidRPr="00B42E2A">
        <w:rPr>
          <w:rFonts w:ascii="Times New Roman" w:hAnsi="Times New Roman" w:cs="Times New Roman"/>
        </w:rPr>
        <w:t xml:space="preserve"> were entitled to use a congressionally created corporation – a “domestic international sales corporation” (DISC) – to transfer money from their family-owned company to their sons’ Roth Individual Retirement Accounts (IRAs).  </w:t>
      </w:r>
      <w:r w:rsidRPr="00B42E2A">
        <w:rPr>
          <w:rFonts w:ascii="Times New Roman" w:hAnsi="Times New Roman" w:cs="Times New Roman"/>
          <w:color w:val="000000" w:themeColor="text1"/>
        </w:rPr>
        <w:t xml:space="preserve">In the related case of </w:t>
      </w:r>
      <w:r w:rsidRPr="00B42E2A">
        <w:rPr>
          <w:rFonts w:ascii="Times New Roman" w:hAnsi="Times New Roman" w:cs="Times New Roman"/>
          <w:i/>
          <w:color w:val="000000" w:themeColor="text1"/>
        </w:rPr>
        <w:t>Benenson v. Commissioner</w:t>
      </w:r>
      <w:r w:rsidRPr="00B42E2A">
        <w:rPr>
          <w:rFonts w:ascii="Times New Roman" w:hAnsi="Times New Roman" w:cs="Times New Roman"/>
          <w:color w:val="000000" w:themeColor="text1"/>
        </w:rPr>
        <w:t>,</w:t>
      </w:r>
      <w:r>
        <w:rPr>
          <w:rFonts w:ascii="Times New Roman" w:hAnsi="Times New Roman" w:cs="Times New Roman"/>
          <w:color w:val="000000" w:themeColor="text1"/>
        </w:rPr>
        <w:t xml:space="preserve"> </w:t>
      </w:r>
      <w:r w:rsidRPr="000D65DD">
        <w:rPr>
          <w:rFonts w:ascii="Times New Roman" w:hAnsi="Times New Roman" w:cs="Times New Roman"/>
          <w:color w:val="000000" w:themeColor="text1"/>
        </w:rPr>
        <w:t>887 F.3d 511 (1st Cir. 2018)</w:t>
      </w:r>
      <w:r>
        <w:rPr>
          <w:rFonts w:ascii="Times New Roman" w:hAnsi="Times New Roman" w:cs="Times New Roman"/>
          <w:color w:val="000000" w:themeColor="text1"/>
        </w:rPr>
        <w:t xml:space="preserve">, </w:t>
      </w:r>
      <w:r w:rsidRPr="00B42E2A">
        <w:rPr>
          <w:rFonts w:ascii="Times New Roman" w:hAnsi="Times New Roman" w:cs="Times New Roman"/>
          <w:color w:val="000000" w:themeColor="text1"/>
        </w:rPr>
        <w:t xml:space="preserve">the First Circuit </w:t>
      </w:r>
      <w:r>
        <w:rPr>
          <w:rFonts w:ascii="Times New Roman" w:hAnsi="Times New Roman" w:cs="Times New Roman"/>
          <w:color w:val="000000" w:themeColor="text1"/>
        </w:rPr>
        <w:t xml:space="preserve">explained as follows when the IRS attempted to the apply the substance over form doctrine to the taxpayers in </w:t>
      </w:r>
      <w:r w:rsidRPr="00104F3E">
        <w:rPr>
          <w:rFonts w:ascii="Times New Roman" w:hAnsi="Times New Roman" w:cs="Times New Roman"/>
          <w:i/>
          <w:color w:val="000000" w:themeColor="text1"/>
        </w:rPr>
        <w:t>Summa</w:t>
      </w:r>
      <w:r w:rsidRPr="00B42E2A">
        <w:rPr>
          <w:rFonts w:ascii="Times New Roman" w:hAnsi="Times New Roman" w:cs="Times New Roman"/>
          <w:color w:val="000000" w:themeColor="text1"/>
        </w:rPr>
        <w:t>:</w:t>
      </w:r>
      <w:r>
        <w:rPr>
          <w:rFonts w:ascii="Times New Roman" w:hAnsi="Times New Roman" w:cs="Times New Roman"/>
          <w:color w:val="000000" w:themeColor="text1"/>
        </w:rPr>
        <w:t xml:space="preserve"> </w:t>
      </w:r>
      <w:r w:rsidRPr="00B42E2A">
        <w:rPr>
          <w:rFonts w:ascii="Times New Roman" w:hAnsi="Times New Roman" w:cs="Times New Roman"/>
          <w:color w:val="000000" w:themeColor="text1"/>
        </w:rPr>
        <w:t xml:space="preserve"> </w:t>
      </w:r>
      <w:r>
        <w:rPr>
          <w:rFonts w:ascii="Times New Roman" w:hAnsi="Times New Roman" w:cs="Times New Roman"/>
          <w:color w:val="000000" w:themeColor="text1"/>
        </w:rPr>
        <w:t>“</w:t>
      </w:r>
      <w:r w:rsidRPr="00BC2CA5">
        <w:rPr>
          <w:rFonts w:ascii="Times New Roman" w:hAnsi="Times New Roman" w:cs="Times New Roman"/>
          <w:b/>
          <w:color w:val="000000" w:themeColor="text1"/>
        </w:rPr>
        <w:t>By design, Congress and the Treasury Department allowed domestic companies to defer taxation and pay out dividends to shareholders through a structure that might otherwise run afoul of the Code</w:t>
      </w:r>
      <w:r>
        <w:rPr>
          <w:rFonts w:ascii="Times New Roman" w:hAnsi="Times New Roman" w:cs="Times New Roman"/>
          <w:color w:val="000000" w:themeColor="text1"/>
        </w:rPr>
        <w:t xml:space="preserve">… </w:t>
      </w:r>
      <w:r w:rsidRPr="00F71A77">
        <w:rPr>
          <w:rFonts w:ascii="Times New Roman" w:hAnsi="Times New Roman" w:cs="Times New Roman"/>
          <w:color w:val="000000" w:themeColor="text1"/>
        </w:rPr>
        <w:t>In sum, we agree with the Sixth Circuit that Congress created DISCs “to enable exporters to defer corporate income tax.”</w:t>
      </w:r>
      <w:r>
        <w:rPr>
          <w:rFonts w:ascii="Times New Roman" w:hAnsi="Times New Roman" w:cs="Times New Roman"/>
          <w:color w:val="000000" w:themeColor="text1"/>
        </w:rPr>
        <w:t xml:space="preserve">  </w:t>
      </w:r>
      <w:r w:rsidRPr="00F71A77">
        <w:rPr>
          <w:rFonts w:ascii="Times New Roman" w:hAnsi="Times New Roman" w:cs="Times New Roman"/>
          <w:color w:val="000000" w:themeColor="text1"/>
        </w:rPr>
        <w:t xml:space="preserve">“Some may call the Benensons’ transaction clever. Others may call it unseemly. </w:t>
      </w:r>
      <w:r w:rsidRPr="00066A0A">
        <w:rPr>
          <w:rFonts w:ascii="Times New Roman" w:hAnsi="Times New Roman" w:cs="Times New Roman"/>
          <w:b/>
          <w:color w:val="000000" w:themeColor="text1"/>
        </w:rPr>
        <w:t xml:space="preserve">The sole question presented to us is whether the Commissioner has the power to call it a violation of the Tax Code. We hold that he does not. </w:t>
      </w:r>
      <w:r w:rsidRPr="00C86E33">
        <w:rPr>
          <w:rFonts w:ascii="Times New Roman" w:hAnsi="Times New Roman" w:cs="Times New Roman"/>
          <w:b/>
          <w:color w:val="000000" w:themeColor="text1"/>
        </w:rPr>
        <w:t>The substance over form doctrine is not a smell test. It is, in this circuit, a tool of statutory interpretation. When, as here, we find that the transaction does not violate the plain intent of the relevant statutes, we can push the doctrine no further</w:t>
      </w:r>
      <w:r>
        <w:rPr>
          <w:rFonts w:ascii="Times New Roman" w:hAnsi="Times New Roman" w:cs="Times New Roman"/>
          <w:color w:val="000000" w:themeColor="text1"/>
        </w:rPr>
        <w:t>.” (Emphasis added).</w:t>
      </w:r>
    </w:p>
    <w:p w14:paraId="76222AA1" w14:textId="77777777" w:rsidR="00434620" w:rsidRPr="00B42E2A" w:rsidRDefault="00434620" w:rsidP="00A8711D">
      <w:pPr>
        <w:pStyle w:val="EndnoteText"/>
        <w:rPr>
          <w:rFonts w:ascii="Times New Roman" w:hAnsi="Times New Roman" w:cs="Times New Roman"/>
          <w:sz w:val="22"/>
          <w:szCs w:val="22"/>
        </w:rPr>
      </w:pPr>
    </w:p>
  </w:endnote>
  <w:endnote w:id="83">
    <w:p w14:paraId="17CA601C" w14:textId="77777777" w:rsidR="00434620" w:rsidRPr="00306940" w:rsidRDefault="00434620" w:rsidP="00B86BC8">
      <w:pPr>
        <w:spacing w:after="0" w:line="240" w:lineRule="auto"/>
        <w:rPr>
          <w:rFonts w:ascii="Times New Roman" w:hAnsi="Times New Roman" w:cs="Times New Roman"/>
        </w:rPr>
      </w:pPr>
      <w:r w:rsidRPr="00306940">
        <w:rPr>
          <w:rStyle w:val="EndnoteReference"/>
          <w:rFonts w:ascii="Times New Roman" w:hAnsi="Times New Roman" w:cs="Times New Roman"/>
        </w:rPr>
        <w:endnoteRef/>
      </w:r>
      <w:r w:rsidRPr="00306940">
        <w:rPr>
          <w:rFonts w:ascii="Times New Roman" w:hAnsi="Times New Roman" w:cs="Times New Roman"/>
        </w:rPr>
        <w:t xml:space="preserve"> Dr. Neil Doherty’s expert testimony at trial (referencing his expert report) explained this industry standard concept of “layering risk”:</w:t>
      </w:r>
    </w:p>
    <w:p w14:paraId="49D5C68C" w14:textId="77777777" w:rsidR="00434620" w:rsidRPr="00306940" w:rsidRDefault="00434620" w:rsidP="00B86BC8">
      <w:pPr>
        <w:spacing w:after="0" w:line="240" w:lineRule="auto"/>
        <w:rPr>
          <w:rFonts w:ascii="Times New Roman" w:hAnsi="Times New Roman" w:cs="Times New Roman"/>
        </w:rPr>
      </w:pPr>
    </w:p>
    <w:p w14:paraId="292EC16D" w14:textId="77777777" w:rsidR="00434620" w:rsidRPr="00306940" w:rsidRDefault="00434620" w:rsidP="00B86BC8">
      <w:pPr>
        <w:spacing w:after="0" w:line="240" w:lineRule="auto"/>
        <w:ind w:left="720"/>
        <w:rPr>
          <w:rFonts w:ascii="Times New Roman" w:hAnsi="Times New Roman" w:cs="Times New Roman"/>
        </w:rPr>
      </w:pPr>
      <w:r w:rsidRPr="00306940">
        <w:rPr>
          <w:rFonts w:ascii="Times New Roman" w:hAnsi="Times New Roman" w:cs="Times New Roman"/>
        </w:rPr>
        <w:t xml:space="preserve">“Under the [Reserve insurance] program, the [insured affiliate] insures part of its insurable exposures with its captive and part with an outside insurer, PoolRe. This breakdown between the captive and PoolRe is interesting and reflects a </w:t>
      </w:r>
      <w:r w:rsidRPr="0025489E">
        <w:rPr>
          <w:rFonts w:ascii="Times New Roman" w:hAnsi="Times New Roman" w:cs="Times New Roman"/>
          <w:b/>
          <w:i/>
        </w:rPr>
        <w:t>common insurance practice of layering risk</w:t>
      </w:r>
      <w:r w:rsidRPr="00306940">
        <w:rPr>
          <w:rFonts w:ascii="Times New Roman" w:hAnsi="Times New Roman" w:cs="Times New Roman"/>
        </w:rPr>
        <w:t xml:space="preserve">. Each member of the Capstone program insures losses up to some threshold with its own captive. Or, in other words, the first layer of each member’s losses are insured with its own captive. </w:t>
      </w:r>
      <w:r w:rsidRPr="0025489E">
        <w:rPr>
          <w:rFonts w:ascii="Times New Roman" w:hAnsi="Times New Roman" w:cs="Times New Roman"/>
          <w:b/>
          <w:i/>
        </w:rPr>
        <w:t>Each member then insures losses above the threshold (the higher layer) with PoolRe.  Thus, PoolRe insures the larger losses (or larger accumulations of claims) incurred by each member, leaving the smaller (and unaccumulated) losses with the captive</w:t>
      </w:r>
      <w:r w:rsidRPr="00306940">
        <w:rPr>
          <w:rFonts w:ascii="Times New Roman" w:hAnsi="Times New Roman" w:cs="Times New Roman"/>
        </w:rPr>
        <w:t>. In this way, PoolRe assumes a portfolio of all the higher layer losses of the member companies. PoolRe then fully reinsures this pool back to all of the captives on a proportional (quota share) basis. Put together these two arrangements (the direct insurance and the reinsurance) result in each captive:</w:t>
      </w:r>
    </w:p>
    <w:p w14:paraId="01BF40E7" w14:textId="77777777" w:rsidR="00434620" w:rsidRPr="00306940" w:rsidRDefault="00434620" w:rsidP="00B86BC8">
      <w:pPr>
        <w:spacing w:after="0" w:line="240" w:lineRule="auto"/>
        <w:ind w:left="720"/>
        <w:rPr>
          <w:rFonts w:ascii="Times New Roman" w:hAnsi="Times New Roman" w:cs="Times New Roman"/>
        </w:rPr>
      </w:pPr>
    </w:p>
    <w:p w14:paraId="21298A47" w14:textId="77777777" w:rsidR="00434620" w:rsidRPr="00306940" w:rsidRDefault="00434620" w:rsidP="00B86BC8">
      <w:pPr>
        <w:spacing w:after="0" w:line="240" w:lineRule="auto"/>
        <w:ind w:left="720" w:firstLine="720"/>
        <w:rPr>
          <w:rFonts w:ascii="Times New Roman" w:hAnsi="Times New Roman" w:cs="Times New Roman"/>
        </w:rPr>
      </w:pPr>
      <w:r w:rsidRPr="00306940">
        <w:rPr>
          <w:rFonts w:ascii="Times New Roman" w:hAnsi="Times New Roman" w:cs="Times New Roman"/>
        </w:rPr>
        <w:t>1. fully insuring the lower layer of losses of its own affiliate(s); and</w:t>
      </w:r>
    </w:p>
    <w:p w14:paraId="51AA8DA7" w14:textId="77777777" w:rsidR="00434620" w:rsidRPr="00306940" w:rsidRDefault="00434620" w:rsidP="00B86BC8">
      <w:pPr>
        <w:spacing w:after="0" w:line="240" w:lineRule="auto"/>
        <w:ind w:left="720" w:firstLine="720"/>
        <w:rPr>
          <w:rFonts w:ascii="Times New Roman" w:hAnsi="Times New Roman" w:cs="Times New Roman"/>
        </w:rPr>
      </w:pPr>
    </w:p>
    <w:p w14:paraId="17091191" w14:textId="77777777" w:rsidR="00434620" w:rsidRPr="00306940" w:rsidRDefault="00434620" w:rsidP="00B86BC8">
      <w:pPr>
        <w:spacing w:after="0" w:line="240" w:lineRule="auto"/>
        <w:ind w:left="1440"/>
        <w:rPr>
          <w:rFonts w:ascii="Times New Roman" w:hAnsi="Times New Roman" w:cs="Times New Roman"/>
        </w:rPr>
      </w:pPr>
      <w:r w:rsidRPr="00306940">
        <w:rPr>
          <w:rFonts w:ascii="Times New Roman" w:hAnsi="Times New Roman" w:cs="Times New Roman"/>
        </w:rPr>
        <w:t>2. reinsuring a small percentage of the pooled higher layer losses of all the members.</w:t>
      </w:r>
    </w:p>
    <w:p w14:paraId="51F3AF9B" w14:textId="77777777" w:rsidR="00434620" w:rsidRPr="00306940" w:rsidRDefault="00434620" w:rsidP="00B86BC8">
      <w:pPr>
        <w:spacing w:after="0" w:line="240" w:lineRule="auto"/>
        <w:rPr>
          <w:rFonts w:ascii="Times New Roman" w:hAnsi="Times New Roman" w:cs="Times New Roman"/>
        </w:rPr>
      </w:pPr>
      <w:r w:rsidRPr="00306940">
        <w:rPr>
          <w:rFonts w:ascii="Times New Roman" w:hAnsi="Times New Roman" w:cs="Times New Roman"/>
        </w:rPr>
        <w:tab/>
      </w:r>
    </w:p>
    <w:p w14:paraId="56A8A3D9" w14:textId="77777777" w:rsidR="00434620" w:rsidRDefault="00434620" w:rsidP="00B86BC8">
      <w:pPr>
        <w:pStyle w:val="EndnoteText"/>
        <w:rPr>
          <w:rFonts w:ascii="Times New Roman" w:hAnsi="Times New Roman" w:cs="Times New Roman"/>
          <w:sz w:val="22"/>
          <w:szCs w:val="22"/>
        </w:rPr>
      </w:pPr>
      <w:r w:rsidRPr="00306940">
        <w:rPr>
          <w:rFonts w:ascii="Times New Roman" w:hAnsi="Times New Roman" w:cs="Times New Roman"/>
          <w:sz w:val="22"/>
          <w:szCs w:val="22"/>
        </w:rPr>
        <w:t xml:space="preserve">Given that there are more than 50 insurance companies participating in the Capstone program in 2008/9/10, then virtually all the exposure assumed by any captive under the quota share reinsurance is entirely unrelated to the captive’s affiliate.” (Emphasis added). </w:t>
      </w:r>
    </w:p>
    <w:p w14:paraId="616855B8" w14:textId="77777777" w:rsidR="00434620" w:rsidRDefault="00434620" w:rsidP="00B86BC8">
      <w:pPr>
        <w:pStyle w:val="EndnoteText"/>
        <w:rPr>
          <w:rFonts w:ascii="Times New Roman" w:hAnsi="Times New Roman" w:cs="Times New Roman"/>
          <w:sz w:val="22"/>
          <w:szCs w:val="22"/>
        </w:rPr>
      </w:pPr>
    </w:p>
    <w:p w14:paraId="0CA4B58A" w14:textId="31AB851C" w:rsidR="00434620" w:rsidRPr="00306940" w:rsidRDefault="00434620" w:rsidP="00B86BC8">
      <w:pPr>
        <w:pStyle w:val="EndnoteText"/>
        <w:rPr>
          <w:rFonts w:ascii="Times New Roman" w:hAnsi="Times New Roman" w:cs="Times New Roman"/>
          <w:sz w:val="22"/>
          <w:szCs w:val="22"/>
        </w:rPr>
      </w:pPr>
      <w:r w:rsidRPr="000D2B7B">
        <w:rPr>
          <w:rFonts w:ascii="Times New Roman" w:hAnsi="Times New Roman" w:cs="Times New Roman"/>
          <w:i/>
          <w:sz w:val="22"/>
          <w:szCs w:val="22"/>
        </w:rPr>
        <w:t>See</w:t>
      </w:r>
      <w:r w:rsidRPr="00306940">
        <w:rPr>
          <w:rFonts w:ascii="Times New Roman" w:hAnsi="Times New Roman" w:cs="Times New Roman"/>
          <w:sz w:val="22"/>
          <w:szCs w:val="22"/>
        </w:rPr>
        <w:t xml:space="preserve"> testimony of Dr. Neil Doherty, Tr</w:t>
      </w:r>
      <w:r>
        <w:rPr>
          <w:rFonts w:ascii="Times New Roman" w:hAnsi="Times New Roman" w:cs="Times New Roman"/>
          <w:sz w:val="22"/>
          <w:szCs w:val="22"/>
        </w:rPr>
        <w:t>.</w:t>
      </w:r>
      <w:r w:rsidRPr="00306940">
        <w:rPr>
          <w:rFonts w:ascii="Times New Roman" w:hAnsi="Times New Roman" w:cs="Times New Roman"/>
          <w:sz w:val="22"/>
          <w:szCs w:val="22"/>
        </w:rPr>
        <w:t xml:space="preserve"> at 235-236 and </w:t>
      </w:r>
      <w:bookmarkStart w:id="30" w:name="_Hlk531345624"/>
      <w:r w:rsidRPr="00306940">
        <w:rPr>
          <w:rFonts w:ascii="Times New Roman" w:hAnsi="Times New Roman" w:cs="Times New Roman"/>
          <w:sz w:val="22"/>
          <w:szCs w:val="22"/>
        </w:rPr>
        <w:t>Exhibit 104-P (Expert Report of Dr. Neil Doherty,</w:t>
      </w:r>
      <w:r>
        <w:rPr>
          <w:rFonts w:ascii="Times New Roman" w:hAnsi="Times New Roman" w:cs="Times New Roman"/>
          <w:sz w:val="22"/>
          <w:szCs w:val="22"/>
        </w:rPr>
        <w:t xml:space="preserve"> </w:t>
      </w:r>
      <w:r w:rsidRPr="00306940">
        <w:rPr>
          <w:rFonts w:ascii="Times New Roman" w:hAnsi="Times New Roman" w:cs="Times New Roman"/>
          <w:sz w:val="22"/>
          <w:szCs w:val="22"/>
        </w:rPr>
        <w:t>March 27, 2017), pages 14-15.</w:t>
      </w:r>
      <w:bookmarkEnd w:id="30"/>
    </w:p>
    <w:p w14:paraId="25D515A6" w14:textId="77777777" w:rsidR="00434620" w:rsidRPr="006C67E1" w:rsidRDefault="00434620">
      <w:pPr>
        <w:pStyle w:val="EndnoteText"/>
        <w:rPr>
          <w:rFonts w:ascii="Times New Roman" w:hAnsi="Times New Roman" w:cs="Times New Roman"/>
          <w:sz w:val="22"/>
          <w:szCs w:val="22"/>
        </w:rPr>
      </w:pPr>
    </w:p>
  </w:endnote>
  <w:endnote w:id="84">
    <w:p w14:paraId="7AAC42B7" w14:textId="6EC68200" w:rsidR="00434620" w:rsidRPr="006C67E1" w:rsidRDefault="00434620">
      <w:pPr>
        <w:pStyle w:val="EndnoteText"/>
        <w:rPr>
          <w:rFonts w:ascii="Times New Roman" w:hAnsi="Times New Roman" w:cs="Times New Roman"/>
          <w:sz w:val="22"/>
          <w:szCs w:val="22"/>
        </w:rPr>
      </w:pPr>
      <w:r w:rsidRPr="006C67E1">
        <w:rPr>
          <w:rStyle w:val="EndnoteReference"/>
          <w:rFonts w:ascii="Times New Roman" w:hAnsi="Times New Roman" w:cs="Times New Roman"/>
          <w:sz w:val="22"/>
          <w:szCs w:val="22"/>
        </w:rPr>
        <w:endnoteRef/>
      </w:r>
      <w:r w:rsidRPr="006C67E1">
        <w:rPr>
          <w:rFonts w:ascii="Times New Roman" w:hAnsi="Times New Roman" w:cs="Times New Roman"/>
          <w:sz w:val="22"/>
          <w:szCs w:val="22"/>
        </w:rPr>
        <w:t xml:space="preserve"> </w:t>
      </w:r>
      <w:r w:rsidRPr="00517040">
        <w:rPr>
          <w:rFonts w:ascii="Times New Roman" w:hAnsi="Times New Roman" w:cs="Times New Roman"/>
          <w:i/>
          <w:sz w:val="22"/>
          <w:szCs w:val="22"/>
        </w:rPr>
        <w:t>See</w:t>
      </w:r>
      <w:r w:rsidRPr="00800421">
        <w:rPr>
          <w:rFonts w:ascii="Times New Roman" w:hAnsi="Times New Roman" w:cs="Times New Roman"/>
          <w:sz w:val="22"/>
          <w:szCs w:val="22"/>
        </w:rPr>
        <w:t xml:space="preserve"> testimony of Robert Snyder, Tr</w:t>
      </w:r>
      <w:r>
        <w:rPr>
          <w:rFonts w:ascii="Times New Roman" w:hAnsi="Times New Roman" w:cs="Times New Roman"/>
          <w:sz w:val="22"/>
          <w:szCs w:val="22"/>
        </w:rPr>
        <w:t>.</w:t>
      </w:r>
      <w:r w:rsidRPr="00800421">
        <w:rPr>
          <w:rFonts w:ascii="Times New Roman" w:hAnsi="Times New Roman" w:cs="Times New Roman"/>
          <w:sz w:val="22"/>
          <w:szCs w:val="22"/>
        </w:rPr>
        <w:t xml:space="preserve"> at 3</w:t>
      </w:r>
      <w:r>
        <w:rPr>
          <w:rFonts w:ascii="Times New Roman" w:hAnsi="Times New Roman" w:cs="Times New Roman"/>
          <w:sz w:val="22"/>
          <w:szCs w:val="22"/>
        </w:rPr>
        <w:t>5</w:t>
      </w:r>
      <w:r w:rsidRPr="00800421">
        <w:rPr>
          <w:rFonts w:ascii="Times New Roman" w:hAnsi="Times New Roman" w:cs="Times New Roman"/>
          <w:sz w:val="22"/>
          <w:szCs w:val="22"/>
        </w:rPr>
        <w:t xml:space="preserve">-37.  Mr. Snyder testified that “A quota share reinsurance policy is a policy that would typically be used by a reinsurance pool where a portion of the risks that are underwritten by other insurance companies </w:t>
      </w:r>
      <w:r>
        <w:rPr>
          <w:rFonts w:ascii="Times New Roman" w:hAnsi="Times New Roman" w:cs="Times New Roman"/>
          <w:sz w:val="22"/>
          <w:szCs w:val="22"/>
        </w:rPr>
        <w:t xml:space="preserve">– </w:t>
      </w:r>
      <w:r w:rsidRPr="00800421">
        <w:rPr>
          <w:rFonts w:ascii="Times New Roman" w:hAnsi="Times New Roman" w:cs="Times New Roman"/>
          <w:sz w:val="22"/>
          <w:szCs w:val="22"/>
        </w:rPr>
        <w:t>in this case it would be captive insurance companie</w:t>
      </w:r>
      <w:r>
        <w:rPr>
          <w:rFonts w:ascii="Times New Roman" w:hAnsi="Times New Roman" w:cs="Times New Roman"/>
          <w:sz w:val="22"/>
          <w:szCs w:val="22"/>
        </w:rPr>
        <w:t xml:space="preserve">s – </w:t>
      </w:r>
      <w:r w:rsidRPr="00800421">
        <w:rPr>
          <w:rFonts w:ascii="Times New Roman" w:hAnsi="Times New Roman" w:cs="Times New Roman"/>
          <w:sz w:val="22"/>
          <w:szCs w:val="22"/>
        </w:rPr>
        <w:t>that ceded to the quota share reinsurer proportionately, and the reinsurer then basically will cede back to the captive insurance company a small portion for that pool of risk</w:t>
      </w:r>
      <w:r>
        <w:rPr>
          <w:rFonts w:ascii="Times New Roman" w:hAnsi="Times New Roman" w:cs="Times New Roman"/>
          <w:sz w:val="22"/>
          <w:szCs w:val="22"/>
        </w:rPr>
        <w:t>.”</w:t>
      </w:r>
    </w:p>
    <w:p w14:paraId="3D885646" w14:textId="77777777" w:rsidR="00434620" w:rsidRPr="006C67E1" w:rsidRDefault="00434620">
      <w:pPr>
        <w:pStyle w:val="EndnoteText"/>
        <w:rPr>
          <w:rFonts w:ascii="Times New Roman" w:hAnsi="Times New Roman" w:cs="Times New Roman"/>
          <w:sz w:val="22"/>
          <w:szCs w:val="22"/>
        </w:rPr>
      </w:pPr>
    </w:p>
  </w:endnote>
  <w:endnote w:id="85">
    <w:p w14:paraId="32629592" w14:textId="77777777" w:rsidR="00434620" w:rsidRPr="0060272E" w:rsidRDefault="00434620" w:rsidP="00445DD2">
      <w:pPr>
        <w:pStyle w:val="EndnoteText"/>
        <w:rPr>
          <w:rFonts w:ascii="Times New Roman" w:hAnsi="Times New Roman" w:cs="Times New Roman"/>
          <w:sz w:val="22"/>
          <w:szCs w:val="22"/>
        </w:rPr>
      </w:pPr>
      <w:r w:rsidRPr="0060272E">
        <w:rPr>
          <w:rStyle w:val="EndnoteReference"/>
          <w:rFonts w:ascii="Times New Roman" w:hAnsi="Times New Roman" w:cs="Times New Roman"/>
          <w:sz w:val="22"/>
          <w:szCs w:val="22"/>
        </w:rPr>
        <w:endnoteRef/>
      </w:r>
      <w:r w:rsidRPr="0060272E">
        <w:rPr>
          <w:rFonts w:ascii="Times New Roman" w:hAnsi="Times New Roman" w:cs="Times New Roman"/>
          <w:sz w:val="22"/>
          <w:szCs w:val="22"/>
        </w:rPr>
        <w:t xml:space="preserve"> </w:t>
      </w:r>
      <w:r w:rsidRPr="00517040">
        <w:rPr>
          <w:rFonts w:ascii="Times New Roman" w:hAnsi="Times New Roman" w:cs="Times New Roman"/>
          <w:i/>
          <w:sz w:val="22"/>
          <w:szCs w:val="22"/>
        </w:rPr>
        <w:t>See</w:t>
      </w:r>
      <w:r>
        <w:rPr>
          <w:rFonts w:ascii="Times New Roman" w:hAnsi="Times New Roman" w:cs="Times New Roman"/>
          <w:sz w:val="22"/>
          <w:szCs w:val="22"/>
        </w:rPr>
        <w:t xml:space="preserve"> Opinion at page 40, where the Court stated that “</w:t>
      </w:r>
      <w:r w:rsidRPr="007F088B">
        <w:rPr>
          <w:rFonts w:ascii="Times New Roman" w:hAnsi="Times New Roman" w:cs="Times New Roman"/>
          <w:sz w:val="22"/>
          <w:szCs w:val="22"/>
        </w:rPr>
        <w:t>Respondent contends that the quota share arrangement provided the</w:t>
      </w:r>
      <w:r>
        <w:rPr>
          <w:rFonts w:ascii="Times New Roman" w:hAnsi="Times New Roman" w:cs="Times New Roman"/>
          <w:sz w:val="22"/>
          <w:szCs w:val="22"/>
        </w:rPr>
        <w:t xml:space="preserve"> </w:t>
      </w:r>
      <w:r w:rsidRPr="007F088B">
        <w:rPr>
          <w:rFonts w:ascii="Times New Roman" w:hAnsi="Times New Roman" w:cs="Times New Roman"/>
          <w:sz w:val="22"/>
          <w:szCs w:val="22"/>
        </w:rPr>
        <w:t>appearance of risk distribution without actually distributing any risk</w:t>
      </w:r>
      <w:r>
        <w:rPr>
          <w:rFonts w:ascii="Times New Roman" w:hAnsi="Times New Roman" w:cs="Times New Roman"/>
          <w:sz w:val="22"/>
          <w:szCs w:val="22"/>
        </w:rPr>
        <w:t xml:space="preserve">.”  </w:t>
      </w:r>
      <w:r w:rsidRPr="00517040">
        <w:rPr>
          <w:rFonts w:ascii="Times New Roman" w:hAnsi="Times New Roman" w:cs="Times New Roman"/>
          <w:i/>
          <w:sz w:val="22"/>
          <w:szCs w:val="22"/>
        </w:rPr>
        <w:t>See also</w:t>
      </w:r>
      <w:r>
        <w:rPr>
          <w:rFonts w:ascii="Times New Roman" w:hAnsi="Times New Roman" w:cs="Times New Roman"/>
          <w:sz w:val="22"/>
          <w:szCs w:val="22"/>
        </w:rPr>
        <w:t xml:space="preserve"> Opinion at page 47, where the Court concluded that “</w:t>
      </w:r>
      <w:r w:rsidRPr="00445DD2">
        <w:rPr>
          <w:rFonts w:ascii="Times New Roman" w:hAnsi="Times New Roman" w:cs="Times New Roman"/>
          <w:sz w:val="22"/>
          <w:szCs w:val="22"/>
        </w:rPr>
        <w:t>The</w:t>
      </w:r>
      <w:r>
        <w:rPr>
          <w:rFonts w:ascii="Times New Roman" w:hAnsi="Times New Roman" w:cs="Times New Roman"/>
          <w:sz w:val="22"/>
          <w:szCs w:val="22"/>
        </w:rPr>
        <w:t xml:space="preserve"> </w:t>
      </w:r>
      <w:r w:rsidRPr="00445DD2">
        <w:rPr>
          <w:rFonts w:ascii="Times New Roman" w:hAnsi="Times New Roman" w:cs="Times New Roman"/>
          <w:sz w:val="22"/>
          <w:szCs w:val="22"/>
        </w:rPr>
        <w:t xml:space="preserve">purported reinsurance agreements between </w:t>
      </w:r>
      <w:r>
        <w:rPr>
          <w:rFonts w:ascii="Times New Roman" w:hAnsi="Times New Roman" w:cs="Times New Roman"/>
          <w:sz w:val="22"/>
          <w:szCs w:val="22"/>
        </w:rPr>
        <w:t>[PoolRe]</w:t>
      </w:r>
      <w:r w:rsidRPr="00445DD2">
        <w:rPr>
          <w:rFonts w:ascii="Times New Roman" w:hAnsi="Times New Roman" w:cs="Times New Roman"/>
          <w:sz w:val="22"/>
          <w:szCs w:val="22"/>
        </w:rPr>
        <w:t xml:space="preserve"> and Reserve did not allow Reserve to</w:t>
      </w:r>
      <w:r>
        <w:rPr>
          <w:rFonts w:ascii="Times New Roman" w:hAnsi="Times New Roman" w:cs="Times New Roman"/>
          <w:sz w:val="22"/>
          <w:szCs w:val="22"/>
        </w:rPr>
        <w:t xml:space="preserve"> </w:t>
      </w:r>
      <w:r w:rsidRPr="00445DD2">
        <w:rPr>
          <w:rFonts w:ascii="Times New Roman" w:hAnsi="Times New Roman" w:cs="Times New Roman"/>
          <w:sz w:val="22"/>
          <w:szCs w:val="22"/>
        </w:rPr>
        <w:t>effectively distribute risk</w:t>
      </w:r>
      <w:r>
        <w:rPr>
          <w:rFonts w:ascii="Times New Roman" w:hAnsi="Times New Roman" w:cs="Times New Roman"/>
          <w:sz w:val="22"/>
          <w:szCs w:val="22"/>
        </w:rPr>
        <w:t>.”  The Court did not and could not cite to any evidence to support this conclusion, since the government offered no testimony or evidence to controvert the testimony of Reserve’s multiple witnesses regarding the purpose of PoolRe’s quota share arrangement and its effectiveness in achieving risk distribution on behalf of Reserve.</w:t>
      </w:r>
    </w:p>
    <w:p w14:paraId="0B10C939" w14:textId="77777777" w:rsidR="00434620" w:rsidRPr="0060272E" w:rsidRDefault="00434620">
      <w:pPr>
        <w:pStyle w:val="EndnoteText"/>
        <w:rPr>
          <w:rFonts w:ascii="Times New Roman" w:hAnsi="Times New Roman" w:cs="Times New Roman"/>
          <w:sz w:val="22"/>
          <w:szCs w:val="22"/>
        </w:rPr>
      </w:pPr>
    </w:p>
  </w:endnote>
  <w:endnote w:id="86">
    <w:p w14:paraId="1E04589D" w14:textId="77777777" w:rsidR="00434620" w:rsidRDefault="00434620" w:rsidP="00B96FEC">
      <w:pPr>
        <w:pStyle w:val="EndnoteText"/>
        <w:rPr>
          <w:rFonts w:ascii="Times New Roman" w:hAnsi="Times New Roman" w:cs="Times New Roman"/>
          <w:sz w:val="22"/>
          <w:szCs w:val="22"/>
        </w:rPr>
      </w:pPr>
      <w:r w:rsidRPr="00D0082B">
        <w:rPr>
          <w:rStyle w:val="EndnoteReference"/>
          <w:rFonts w:ascii="Times New Roman" w:hAnsi="Times New Roman" w:cs="Times New Roman"/>
          <w:sz w:val="22"/>
          <w:szCs w:val="22"/>
        </w:rPr>
        <w:endnoteRef/>
      </w:r>
      <w:r w:rsidRPr="00D0082B">
        <w:rPr>
          <w:rFonts w:ascii="Times New Roman" w:hAnsi="Times New Roman" w:cs="Times New Roman"/>
          <w:sz w:val="22"/>
          <w:szCs w:val="22"/>
        </w:rPr>
        <w:t xml:space="preserve"> Oliver Schofield, “</w:t>
      </w:r>
      <w:r w:rsidRPr="00D0082B">
        <w:rPr>
          <w:rFonts w:ascii="Times New Roman" w:hAnsi="Times New Roman" w:cs="Times New Roman"/>
          <w:i/>
          <w:sz w:val="22"/>
          <w:szCs w:val="22"/>
        </w:rPr>
        <w:t xml:space="preserve">Reserve Mechanical: </w:t>
      </w:r>
      <w:r w:rsidRPr="00EC1355">
        <w:rPr>
          <w:rFonts w:ascii="Times New Roman" w:hAnsi="Times New Roman" w:cs="Times New Roman"/>
          <w:i/>
          <w:sz w:val="22"/>
          <w:szCs w:val="22"/>
        </w:rPr>
        <w:t>Judge Kerrigan Shows ‘Limited Knowledge’ of Reinsurance Market</w:t>
      </w:r>
      <w:r w:rsidRPr="00EC1355">
        <w:rPr>
          <w:rFonts w:ascii="Times New Roman" w:hAnsi="Times New Roman" w:cs="Times New Roman"/>
          <w:sz w:val="22"/>
          <w:szCs w:val="22"/>
        </w:rPr>
        <w:t xml:space="preserve">,” June 28, 2018. Mr. Schofield’s article can be viewed </w:t>
      </w:r>
      <w:hyperlink r:id="rId5" w:history="1">
        <w:r w:rsidRPr="00EC1355">
          <w:rPr>
            <w:rFonts w:ascii="Times New Roman" w:hAnsi="Times New Roman" w:cs="Times New Roman"/>
            <w:color w:val="0000FF"/>
            <w:sz w:val="22"/>
            <w:szCs w:val="22"/>
            <w:u w:val="single"/>
          </w:rPr>
          <w:t>here</w:t>
        </w:r>
      </w:hyperlink>
      <w:r w:rsidRPr="00EC1355">
        <w:rPr>
          <w:rFonts w:ascii="Times New Roman" w:hAnsi="Times New Roman" w:cs="Times New Roman"/>
          <w:sz w:val="22"/>
          <w:szCs w:val="22"/>
        </w:rPr>
        <w:t>. In this article, published by Captive Review, London reinsurance expert, Oliver Schofield, managing partner at risk and insurance consultancy RISCS, questions whether Judge Kerrigan fully understands the use and purpose of quota share contracts and explains that the stop loss “attachment point” in the PoolRe pooling arrangement was appropriate since the purpose of stop loss coverage is to serve as “protection</w:t>
      </w:r>
      <w:r w:rsidRPr="00D0082B">
        <w:rPr>
          <w:rFonts w:ascii="Times New Roman" w:hAnsi="Times New Roman" w:cs="Times New Roman"/>
          <w:sz w:val="22"/>
          <w:szCs w:val="22"/>
        </w:rPr>
        <w:t xml:space="preserve"> against a catastrophic deterioration in loss frequency and as such should attach beyond the 1 in 10 year expected loss scenario.” Mr. Schofield further explains that it is advisable for a captive to only retain a “distant aggregate excess of loss layer” to avoid “being taken to the ‘mortuary chapel’ by risks over which it has zero control or influence.”</w:t>
      </w:r>
    </w:p>
    <w:p w14:paraId="27C84EC3" w14:textId="77777777" w:rsidR="00434620" w:rsidRPr="003E1059" w:rsidRDefault="00434620" w:rsidP="00B96FEC">
      <w:pPr>
        <w:pStyle w:val="EndnoteText"/>
        <w:rPr>
          <w:rFonts w:ascii="Times New Roman" w:hAnsi="Times New Roman" w:cs="Times New Roman"/>
          <w:sz w:val="22"/>
          <w:szCs w:val="22"/>
        </w:rPr>
      </w:pPr>
    </w:p>
  </w:endnote>
  <w:endnote w:id="87">
    <w:p w14:paraId="4A824C81" w14:textId="77777777" w:rsidR="00434620" w:rsidRDefault="00434620" w:rsidP="00063F8C">
      <w:pPr>
        <w:pStyle w:val="EndnoteText"/>
        <w:rPr>
          <w:rFonts w:ascii="Times New Roman" w:hAnsi="Times New Roman" w:cs="Times New Roman"/>
          <w:sz w:val="22"/>
          <w:szCs w:val="22"/>
        </w:rPr>
      </w:pPr>
      <w:r w:rsidRPr="003E1059">
        <w:rPr>
          <w:rStyle w:val="EndnoteReference"/>
          <w:rFonts w:ascii="Times New Roman" w:hAnsi="Times New Roman" w:cs="Times New Roman"/>
          <w:sz w:val="22"/>
          <w:szCs w:val="22"/>
        </w:rPr>
        <w:endnoteRef/>
      </w:r>
      <w:r w:rsidRPr="003E1059">
        <w:rPr>
          <w:rFonts w:ascii="Times New Roman" w:hAnsi="Times New Roman" w:cs="Times New Roman"/>
          <w:sz w:val="22"/>
          <w:szCs w:val="22"/>
        </w:rPr>
        <w:t xml:space="preserve"> </w:t>
      </w:r>
      <w:r w:rsidRPr="00517040">
        <w:rPr>
          <w:rFonts w:ascii="Times New Roman" w:hAnsi="Times New Roman" w:cs="Times New Roman"/>
          <w:i/>
          <w:sz w:val="22"/>
          <w:szCs w:val="22"/>
        </w:rPr>
        <w:t>See</w:t>
      </w:r>
      <w:r>
        <w:rPr>
          <w:rFonts w:ascii="Times New Roman" w:hAnsi="Times New Roman" w:cs="Times New Roman"/>
          <w:sz w:val="22"/>
          <w:szCs w:val="22"/>
        </w:rPr>
        <w:t xml:space="preserve"> </w:t>
      </w:r>
      <w:r w:rsidRPr="00B3318F">
        <w:rPr>
          <w:rFonts w:ascii="Times New Roman" w:hAnsi="Times New Roman" w:cs="Times New Roman"/>
          <w:sz w:val="22"/>
          <w:szCs w:val="22"/>
        </w:rPr>
        <w:t xml:space="preserve">Pat Magarick &amp; Ken Brownlee, </w:t>
      </w:r>
      <w:r>
        <w:rPr>
          <w:rFonts w:ascii="Times New Roman" w:hAnsi="Times New Roman" w:cs="Times New Roman"/>
          <w:sz w:val="22"/>
          <w:szCs w:val="22"/>
        </w:rPr>
        <w:t>“</w:t>
      </w:r>
      <w:r w:rsidRPr="008641A5">
        <w:rPr>
          <w:rFonts w:ascii="Times New Roman" w:hAnsi="Times New Roman" w:cs="Times New Roman"/>
          <w:i/>
          <w:sz w:val="22"/>
          <w:szCs w:val="22"/>
        </w:rPr>
        <w:t>Captives and underwriting pools</w:t>
      </w:r>
      <w:r>
        <w:rPr>
          <w:rFonts w:ascii="Times New Roman" w:hAnsi="Times New Roman" w:cs="Times New Roman"/>
          <w:sz w:val="22"/>
          <w:szCs w:val="22"/>
        </w:rPr>
        <w:t>,”</w:t>
      </w:r>
      <w:r w:rsidRPr="00B3318F">
        <w:rPr>
          <w:rFonts w:ascii="Times New Roman" w:hAnsi="Times New Roman" w:cs="Times New Roman"/>
          <w:sz w:val="22"/>
          <w:szCs w:val="22"/>
        </w:rPr>
        <w:t xml:space="preserve"> </w:t>
      </w:r>
      <w:r w:rsidRPr="003F1E85">
        <w:rPr>
          <w:rFonts w:ascii="Times New Roman" w:hAnsi="Times New Roman" w:cs="Times New Roman"/>
          <w:sz w:val="22"/>
          <w:szCs w:val="22"/>
        </w:rPr>
        <w:t>Casualty Insurance Claims, 4th Ed.</w:t>
      </w:r>
      <w:r w:rsidRPr="00B3318F">
        <w:rPr>
          <w:rFonts w:ascii="Times New Roman" w:hAnsi="Times New Roman" w:cs="Times New Roman"/>
          <w:sz w:val="22"/>
          <w:szCs w:val="22"/>
        </w:rPr>
        <w:t>, §</w:t>
      </w:r>
      <w:r>
        <w:rPr>
          <w:rFonts w:ascii="Times New Roman" w:hAnsi="Times New Roman" w:cs="Times New Roman"/>
          <w:sz w:val="22"/>
          <w:szCs w:val="22"/>
        </w:rPr>
        <w:t xml:space="preserve"> 4</w:t>
      </w:r>
      <w:r w:rsidRPr="00B3318F">
        <w:rPr>
          <w:rFonts w:ascii="Times New Roman" w:hAnsi="Times New Roman" w:cs="Times New Roman"/>
          <w:sz w:val="22"/>
          <w:szCs w:val="22"/>
        </w:rPr>
        <w:t>6:</w:t>
      </w:r>
      <w:r>
        <w:rPr>
          <w:rFonts w:ascii="Times New Roman" w:hAnsi="Times New Roman" w:cs="Times New Roman"/>
          <w:sz w:val="22"/>
          <w:szCs w:val="22"/>
        </w:rPr>
        <w:t>8</w:t>
      </w:r>
      <w:r w:rsidRPr="00B3318F">
        <w:rPr>
          <w:rFonts w:ascii="Times New Roman" w:hAnsi="Times New Roman" w:cs="Times New Roman"/>
          <w:sz w:val="22"/>
          <w:szCs w:val="22"/>
        </w:rPr>
        <w:t xml:space="preserve"> (</w:t>
      </w:r>
      <w:r>
        <w:rPr>
          <w:rFonts w:ascii="Times New Roman" w:hAnsi="Times New Roman" w:cs="Times New Roman"/>
          <w:sz w:val="22"/>
          <w:szCs w:val="22"/>
        </w:rPr>
        <w:t>November</w:t>
      </w:r>
      <w:r w:rsidRPr="00B3318F">
        <w:rPr>
          <w:rFonts w:ascii="Times New Roman" w:hAnsi="Times New Roman" w:cs="Times New Roman"/>
          <w:sz w:val="22"/>
          <w:szCs w:val="22"/>
        </w:rPr>
        <w:t xml:space="preserve"> 201</w:t>
      </w:r>
      <w:r>
        <w:rPr>
          <w:rFonts w:ascii="Times New Roman" w:hAnsi="Times New Roman" w:cs="Times New Roman"/>
          <w:sz w:val="22"/>
          <w:szCs w:val="22"/>
        </w:rPr>
        <w:t>8</w:t>
      </w:r>
      <w:r w:rsidRPr="00B3318F">
        <w:rPr>
          <w:rFonts w:ascii="Times New Roman" w:hAnsi="Times New Roman" w:cs="Times New Roman"/>
          <w:sz w:val="22"/>
          <w:szCs w:val="22"/>
        </w:rPr>
        <w:t xml:space="preserve"> update).</w:t>
      </w:r>
      <w:r>
        <w:rPr>
          <w:rFonts w:ascii="Times New Roman" w:hAnsi="Times New Roman" w:cs="Times New Roman"/>
          <w:sz w:val="22"/>
          <w:szCs w:val="22"/>
        </w:rPr>
        <w:t xml:space="preserve">  This treatise describes the importance of captive reinsurance as follows:  “</w:t>
      </w:r>
      <w:r w:rsidRPr="00612A8A">
        <w:rPr>
          <w:rFonts w:ascii="Times New Roman" w:hAnsi="Times New Roman" w:cs="Times New Roman"/>
          <w:sz w:val="22"/>
          <w:szCs w:val="22"/>
        </w:rPr>
        <w:t>One aspect of captive insurance is that of reinsurance. What makes the use of a captive attractive to corporate owners</w:t>
      </w:r>
      <w:r>
        <w:rPr>
          <w:rFonts w:ascii="Times New Roman" w:hAnsi="Times New Roman" w:cs="Times New Roman"/>
          <w:sz w:val="22"/>
          <w:szCs w:val="22"/>
        </w:rPr>
        <w:t xml:space="preserve"> </w:t>
      </w:r>
      <w:r w:rsidRPr="00612A8A">
        <w:rPr>
          <w:rFonts w:ascii="Times New Roman" w:hAnsi="Times New Roman" w:cs="Times New Roman"/>
          <w:sz w:val="22"/>
          <w:szCs w:val="22"/>
        </w:rPr>
        <w:t>is that the capacity of the captive can be expanded through reinsurance, which adds both protection for high losses on</w:t>
      </w:r>
      <w:r>
        <w:rPr>
          <w:rFonts w:ascii="Times New Roman" w:hAnsi="Times New Roman" w:cs="Times New Roman"/>
          <w:sz w:val="22"/>
          <w:szCs w:val="22"/>
        </w:rPr>
        <w:t xml:space="preserve"> </w:t>
      </w:r>
      <w:r w:rsidRPr="00612A8A">
        <w:rPr>
          <w:rFonts w:ascii="Times New Roman" w:hAnsi="Times New Roman" w:cs="Times New Roman"/>
          <w:sz w:val="22"/>
          <w:szCs w:val="22"/>
        </w:rPr>
        <w:t>whatever basis negotiated and also adds to surplus</w:t>
      </w:r>
      <w:r>
        <w:rPr>
          <w:rFonts w:ascii="Times New Roman" w:hAnsi="Times New Roman" w:cs="Times New Roman"/>
          <w:sz w:val="22"/>
          <w:szCs w:val="22"/>
        </w:rPr>
        <w:t xml:space="preserve">….. </w:t>
      </w:r>
      <w:r w:rsidRPr="00612A8A">
        <w:rPr>
          <w:rFonts w:ascii="Times New Roman" w:hAnsi="Times New Roman" w:cs="Times New Roman"/>
          <w:sz w:val="22"/>
          <w:szCs w:val="22"/>
        </w:rPr>
        <w:t>In the 21st century, reinsurance for captives is both readily available and inexpensive, and reinsurers pursue such business.</w:t>
      </w:r>
      <w:r>
        <w:rPr>
          <w:rFonts w:ascii="Times New Roman" w:hAnsi="Times New Roman" w:cs="Times New Roman"/>
          <w:sz w:val="22"/>
          <w:szCs w:val="22"/>
        </w:rPr>
        <w:t>”</w:t>
      </w:r>
    </w:p>
    <w:p w14:paraId="03BDDD83" w14:textId="77777777" w:rsidR="00434620" w:rsidRDefault="00434620" w:rsidP="00063F8C">
      <w:pPr>
        <w:pStyle w:val="EndnoteText"/>
        <w:rPr>
          <w:rFonts w:ascii="Times New Roman" w:hAnsi="Times New Roman" w:cs="Times New Roman"/>
          <w:sz w:val="22"/>
          <w:szCs w:val="22"/>
        </w:rPr>
      </w:pPr>
    </w:p>
    <w:p w14:paraId="25E7AC9B" w14:textId="23295A14" w:rsidR="00434620" w:rsidRPr="00216C9C" w:rsidRDefault="00434620" w:rsidP="00216C9C">
      <w:pPr>
        <w:pStyle w:val="EndnoteText"/>
        <w:rPr>
          <w:rFonts w:ascii="Times New Roman" w:hAnsi="Times New Roman" w:cs="Times New Roman"/>
          <w:sz w:val="22"/>
          <w:szCs w:val="22"/>
        </w:rPr>
      </w:pPr>
      <w:r w:rsidRPr="00517040">
        <w:rPr>
          <w:rFonts w:ascii="Times New Roman" w:hAnsi="Times New Roman" w:cs="Times New Roman"/>
          <w:i/>
          <w:sz w:val="22"/>
          <w:szCs w:val="22"/>
        </w:rPr>
        <w:t>See also</w:t>
      </w:r>
      <w:r w:rsidRPr="00517040">
        <w:rPr>
          <w:rFonts w:ascii="Times New Roman" w:hAnsi="Times New Roman" w:cs="Times New Roman"/>
          <w:sz w:val="22"/>
          <w:szCs w:val="22"/>
        </w:rPr>
        <w:t xml:space="preserve"> Michael</w:t>
      </w:r>
      <w:r w:rsidRPr="00C61731">
        <w:rPr>
          <w:rFonts w:ascii="Times New Roman" w:hAnsi="Times New Roman" w:cs="Times New Roman"/>
          <w:sz w:val="22"/>
          <w:szCs w:val="22"/>
        </w:rPr>
        <w:t xml:space="preserve"> R. Mead, “</w:t>
      </w:r>
      <w:r w:rsidRPr="00C61731">
        <w:rPr>
          <w:rFonts w:ascii="Times New Roman" w:hAnsi="Times New Roman" w:cs="Times New Roman"/>
          <w:i/>
          <w:sz w:val="22"/>
          <w:szCs w:val="22"/>
        </w:rPr>
        <w:t>Captive ‘Reinsurance’ Causes Confusion</w:t>
      </w:r>
      <w:r w:rsidRPr="00C61731">
        <w:rPr>
          <w:rFonts w:ascii="Times New Roman" w:hAnsi="Times New Roman" w:cs="Times New Roman"/>
          <w:sz w:val="22"/>
          <w:szCs w:val="22"/>
        </w:rPr>
        <w:t>,” National Underwriter, P&amp;C Ed., April18, 2005, Page 32.</w:t>
      </w:r>
      <w:r>
        <w:rPr>
          <w:rFonts w:ascii="Times New Roman" w:hAnsi="Times New Roman" w:cs="Times New Roman"/>
          <w:sz w:val="22"/>
          <w:szCs w:val="22"/>
        </w:rPr>
        <w:t xml:space="preserve">  Mr. Mead explains the important role that reinsurance plays for captives as follows: “</w:t>
      </w:r>
      <w:r w:rsidRPr="008E13D0">
        <w:rPr>
          <w:rFonts w:ascii="Times New Roman" w:hAnsi="Times New Roman" w:cs="Times New Roman"/>
          <w:sz w:val="22"/>
          <w:szCs w:val="22"/>
        </w:rPr>
        <w:t>Reinsurance and excess insurance can be structured to protect a captive from a single</w:t>
      </w:r>
      <w:r>
        <w:rPr>
          <w:rFonts w:ascii="Times New Roman" w:hAnsi="Times New Roman" w:cs="Times New Roman"/>
          <w:sz w:val="22"/>
          <w:szCs w:val="22"/>
        </w:rPr>
        <w:t xml:space="preserve"> </w:t>
      </w:r>
      <w:r w:rsidRPr="008E13D0">
        <w:rPr>
          <w:rFonts w:ascii="Times New Roman" w:hAnsi="Times New Roman" w:cs="Times New Roman"/>
          <w:sz w:val="22"/>
          <w:szCs w:val="22"/>
        </w:rPr>
        <w:t>loss above its capacity, or from an aggregation of many losses in a policy period.</w:t>
      </w:r>
      <w:r>
        <w:rPr>
          <w:rFonts w:ascii="Times New Roman" w:hAnsi="Times New Roman" w:cs="Times New Roman"/>
          <w:sz w:val="22"/>
          <w:szCs w:val="22"/>
        </w:rPr>
        <w:t xml:space="preserve">  </w:t>
      </w:r>
      <w:r w:rsidRPr="008E13D0">
        <w:rPr>
          <w:rFonts w:ascii="Times New Roman" w:hAnsi="Times New Roman" w:cs="Times New Roman"/>
          <w:sz w:val="22"/>
          <w:szCs w:val="22"/>
        </w:rPr>
        <w:t>These</w:t>
      </w:r>
      <w:r>
        <w:rPr>
          <w:rFonts w:ascii="Times New Roman" w:hAnsi="Times New Roman" w:cs="Times New Roman"/>
          <w:sz w:val="22"/>
          <w:szCs w:val="22"/>
        </w:rPr>
        <w:t xml:space="preserve"> </w:t>
      </w:r>
      <w:r w:rsidRPr="008E13D0">
        <w:rPr>
          <w:rFonts w:ascii="Times New Roman" w:hAnsi="Times New Roman" w:cs="Times New Roman"/>
          <w:sz w:val="22"/>
          <w:szCs w:val="22"/>
        </w:rPr>
        <w:t xml:space="preserve">are often called vertical and horizontal losses, or </w:t>
      </w:r>
      <w:r w:rsidRPr="002575F2">
        <w:rPr>
          <w:rFonts w:ascii="Times New Roman" w:hAnsi="Times New Roman" w:cs="Times New Roman"/>
          <w:sz w:val="22"/>
          <w:szCs w:val="22"/>
        </w:rPr>
        <w:t>speci</w:t>
      </w:r>
      <w:r>
        <w:rPr>
          <w:rFonts w:ascii="Times New Roman" w:hAnsi="Times New Roman" w:cs="Times New Roman"/>
          <w:sz w:val="22"/>
          <w:szCs w:val="22"/>
        </w:rPr>
        <w:t xml:space="preserve">fic and aggregate.  </w:t>
      </w:r>
      <w:r w:rsidRPr="00063F8C">
        <w:rPr>
          <w:rFonts w:ascii="Times New Roman" w:hAnsi="Times New Roman" w:cs="Times New Roman"/>
          <w:sz w:val="22"/>
          <w:szCs w:val="22"/>
        </w:rPr>
        <w:t>A typical structure would occur when the “front” accepts little or no risk, placing up to</w:t>
      </w:r>
      <w:r>
        <w:rPr>
          <w:rFonts w:ascii="Times New Roman" w:hAnsi="Times New Roman" w:cs="Times New Roman"/>
          <w:sz w:val="22"/>
          <w:szCs w:val="22"/>
        </w:rPr>
        <w:t xml:space="preserve"> </w:t>
      </w:r>
      <w:r w:rsidRPr="00063F8C">
        <w:rPr>
          <w:rFonts w:ascii="Times New Roman" w:hAnsi="Times New Roman" w:cs="Times New Roman"/>
          <w:sz w:val="22"/>
          <w:szCs w:val="22"/>
        </w:rPr>
        <w:t>100 percent of the exposure with others. The captive can then arrange reinsurance</w:t>
      </w:r>
      <w:r>
        <w:rPr>
          <w:rFonts w:ascii="Times New Roman" w:hAnsi="Times New Roman" w:cs="Times New Roman"/>
          <w:sz w:val="22"/>
          <w:szCs w:val="22"/>
        </w:rPr>
        <w:t xml:space="preserve"> </w:t>
      </w:r>
      <w:r w:rsidRPr="00063F8C">
        <w:rPr>
          <w:rFonts w:ascii="Times New Roman" w:hAnsi="Times New Roman" w:cs="Times New Roman"/>
          <w:sz w:val="22"/>
          <w:szCs w:val="22"/>
        </w:rPr>
        <w:t>behind its limits or obtain excess coverage over and around its limits.</w:t>
      </w:r>
      <w:r>
        <w:rPr>
          <w:rFonts w:ascii="Times New Roman" w:hAnsi="Times New Roman" w:cs="Times New Roman"/>
          <w:sz w:val="22"/>
          <w:szCs w:val="22"/>
        </w:rPr>
        <w:t>”  As Mr. Mead further explains, “</w:t>
      </w:r>
      <w:r w:rsidRPr="00216C9C">
        <w:rPr>
          <w:rFonts w:ascii="Times New Roman" w:hAnsi="Times New Roman" w:cs="Times New Roman"/>
          <w:sz w:val="22"/>
          <w:szCs w:val="22"/>
        </w:rPr>
        <w:t>Regulators might question the captive’s ability to accept responsibility for the limits if</w:t>
      </w:r>
    </w:p>
    <w:p w14:paraId="43D56AC2" w14:textId="77777777" w:rsidR="00434620" w:rsidRPr="003E1059" w:rsidRDefault="00434620" w:rsidP="00C61BB4">
      <w:pPr>
        <w:pStyle w:val="EndnoteText"/>
        <w:rPr>
          <w:rFonts w:ascii="Times New Roman" w:hAnsi="Times New Roman" w:cs="Times New Roman"/>
          <w:sz w:val="22"/>
          <w:szCs w:val="22"/>
        </w:rPr>
      </w:pPr>
      <w:r w:rsidRPr="00216C9C">
        <w:rPr>
          <w:rFonts w:ascii="Times New Roman" w:hAnsi="Times New Roman" w:cs="Times New Roman"/>
          <w:sz w:val="22"/>
          <w:szCs w:val="22"/>
        </w:rPr>
        <w:t>the reinsurer fails, as all exposure is on the captive’s books.</w:t>
      </w:r>
      <w:r>
        <w:rPr>
          <w:rFonts w:ascii="Times New Roman" w:hAnsi="Times New Roman" w:cs="Times New Roman"/>
          <w:sz w:val="22"/>
          <w:szCs w:val="22"/>
        </w:rPr>
        <w:t xml:space="preserve">  </w:t>
      </w:r>
      <w:r w:rsidRPr="00C61BB4">
        <w:rPr>
          <w:rFonts w:ascii="Times New Roman" w:hAnsi="Times New Roman" w:cs="Times New Roman"/>
          <w:sz w:val="22"/>
          <w:szCs w:val="22"/>
        </w:rPr>
        <w:t>For this reason, reinsurance of the captive is usually done as excess of the captive’s</w:t>
      </w:r>
      <w:r>
        <w:rPr>
          <w:rFonts w:ascii="Times New Roman" w:hAnsi="Times New Roman" w:cs="Times New Roman"/>
          <w:sz w:val="22"/>
          <w:szCs w:val="22"/>
        </w:rPr>
        <w:t xml:space="preserve"> </w:t>
      </w:r>
      <w:r w:rsidRPr="00C61BB4">
        <w:rPr>
          <w:rFonts w:ascii="Times New Roman" w:hAnsi="Times New Roman" w:cs="Times New Roman"/>
          <w:sz w:val="22"/>
          <w:szCs w:val="22"/>
        </w:rPr>
        <w:t>retention. This may reduce some costs, capital requirements and regulatory concerns.</w:t>
      </w:r>
      <w:r>
        <w:rPr>
          <w:rFonts w:ascii="Times New Roman" w:hAnsi="Times New Roman" w:cs="Times New Roman"/>
          <w:sz w:val="22"/>
          <w:szCs w:val="22"/>
        </w:rPr>
        <w:t xml:space="preserve">  </w:t>
      </w:r>
      <w:r w:rsidRPr="00C61BB4">
        <w:rPr>
          <w:rFonts w:ascii="Times New Roman" w:hAnsi="Times New Roman" w:cs="Times New Roman"/>
          <w:sz w:val="22"/>
          <w:szCs w:val="22"/>
        </w:rPr>
        <w:t>An excess insurance policy can be written to not respond until the loss reaches beyond</w:t>
      </w:r>
      <w:r>
        <w:rPr>
          <w:rFonts w:ascii="Times New Roman" w:hAnsi="Times New Roman" w:cs="Times New Roman"/>
          <w:sz w:val="22"/>
          <w:szCs w:val="22"/>
        </w:rPr>
        <w:t xml:space="preserve"> </w:t>
      </w:r>
      <w:r w:rsidRPr="00C61BB4">
        <w:rPr>
          <w:rFonts w:ascii="Times New Roman" w:hAnsi="Times New Roman" w:cs="Times New Roman"/>
          <w:sz w:val="22"/>
          <w:szCs w:val="22"/>
        </w:rPr>
        <w:t>the attachment point of the captive</w:t>
      </w:r>
      <w:r>
        <w:rPr>
          <w:rFonts w:ascii="Times New Roman" w:hAnsi="Times New Roman" w:cs="Times New Roman"/>
          <w:sz w:val="22"/>
          <w:szCs w:val="22"/>
        </w:rPr>
        <w:t xml:space="preserve"> – </w:t>
      </w:r>
      <w:r w:rsidRPr="00C61BB4">
        <w:rPr>
          <w:rFonts w:ascii="Times New Roman" w:hAnsi="Times New Roman" w:cs="Times New Roman"/>
          <w:sz w:val="22"/>
          <w:szCs w:val="22"/>
        </w:rPr>
        <w:t>known as straight excess. Attachment points and</w:t>
      </w:r>
      <w:r>
        <w:rPr>
          <w:rFonts w:ascii="Times New Roman" w:hAnsi="Times New Roman" w:cs="Times New Roman"/>
          <w:sz w:val="22"/>
          <w:szCs w:val="22"/>
        </w:rPr>
        <w:t xml:space="preserve"> </w:t>
      </w:r>
      <w:r w:rsidRPr="00C61BB4">
        <w:rPr>
          <w:rFonts w:ascii="Times New Roman" w:hAnsi="Times New Roman" w:cs="Times New Roman"/>
          <w:sz w:val="22"/>
          <w:szCs w:val="22"/>
        </w:rPr>
        <w:t>actuarial projections become critical to the captive’s acceptability and probability of</w:t>
      </w:r>
      <w:r>
        <w:rPr>
          <w:rFonts w:ascii="Times New Roman" w:hAnsi="Times New Roman" w:cs="Times New Roman"/>
          <w:sz w:val="22"/>
          <w:szCs w:val="22"/>
        </w:rPr>
        <w:t xml:space="preserve"> </w:t>
      </w:r>
      <w:r w:rsidRPr="00C61BB4">
        <w:rPr>
          <w:rFonts w:ascii="Times New Roman" w:hAnsi="Times New Roman" w:cs="Times New Roman"/>
          <w:sz w:val="22"/>
          <w:szCs w:val="22"/>
        </w:rPr>
        <w:t>success.</w:t>
      </w:r>
      <w:r>
        <w:rPr>
          <w:rFonts w:ascii="Times New Roman" w:hAnsi="Times New Roman" w:cs="Times New Roman"/>
          <w:sz w:val="22"/>
          <w:szCs w:val="22"/>
        </w:rPr>
        <w:t>”</w:t>
      </w:r>
    </w:p>
    <w:p w14:paraId="6D6D7402" w14:textId="77777777" w:rsidR="00434620" w:rsidRPr="00F16BC6" w:rsidRDefault="00434620">
      <w:pPr>
        <w:pStyle w:val="EndnoteText"/>
        <w:rPr>
          <w:rFonts w:ascii="Times New Roman" w:hAnsi="Times New Roman" w:cs="Times New Roman"/>
          <w:sz w:val="22"/>
          <w:szCs w:val="22"/>
        </w:rPr>
      </w:pPr>
    </w:p>
  </w:endnote>
  <w:endnote w:id="88">
    <w:p w14:paraId="1B086145" w14:textId="77777777" w:rsidR="00434620" w:rsidRPr="004679D1" w:rsidRDefault="00434620" w:rsidP="004679D1">
      <w:pPr>
        <w:pStyle w:val="EndnoteText"/>
        <w:rPr>
          <w:rFonts w:ascii="Times New Roman" w:hAnsi="Times New Roman" w:cs="Times New Roman"/>
          <w:sz w:val="22"/>
          <w:szCs w:val="22"/>
        </w:rPr>
      </w:pPr>
      <w:r w:rsidRPr="002E0AB9">
        <w:rPr>
          <w:rStyle w:val="EndnoteReference"/>
          <w:rFonts w:ascii="Times New Roman" w:hAnsi="Times New Roman" w:cs="Times New Roman"/>
          <w:sz w:val="22"/>
          <w:szCs w:val="22"/>
        </w:rPr>
        <w:endnoteRef/>
      </w:r>
      <w:r w:rsidRPr="002E0AB9">
        <w:rPr>
          <w:rFonts w:ascii="Times New Roman" w:hAnsi="Times New Roman" w:cs="Times New Roman"/>
          <w:sz w:val="22"/>
          <w:szCs w:val="22"/>
        </w:rPr>
        <w:t xml:space="preserve"> </w:t>
      </w:r>
      <w:r w:rsidRPr="002E0AB9">
        <w:rPr>
          <w:rFonts w:ascii="Times New Roman" w:hAnsi="Times New Roman" w:cs="Times New Roman"/>
          <w:i/>
          <w:sz w:val="22"/>
          <w:szCs w:val="22"/>
        </w:rPr>
        <w:t>See</w:t>
      </w:r>
      <w:r w:rsidRPr="002E0AB9">
        <w:rPr>
          <w:rFonts w:ascii="Times New Roman" w:hAnsi="Times New Roman" w:cs="Times New Roman"/>
          <w:sz w:val="22"/>
          <w:szCs w:val="22"/>
        </w:rPr>
        <w:t xml:space="preserve"> H.</w:t>
      </w:r>
      <w:r w:rsidRPr="00F16BC6">
        <w:rPr>
          <w:rFonts w:ascii="Times New Roman" w:hAnsi="Times New Roman" w:cs="Times New Roman"/>
          <w:sz w:val="22"/>
          <w:szCs w:val="22"/>
        </w:rPr>
        <w:t xml:space="preserve"> Wayne, Editor Snider. </w:t>
      </w:r>
      <w:r w:rsidRPr="00742B47">
        <w:rPr>
          <w:rFonts w:ascii="Times New Roman" w:hAnsi="Times New Roman" w:cs="Times New Roman"/>
          <w:i/>
          <w:sz w:val="22"/>
          <w:szCs w:val="22"/>
        </w:rPr>
        <w:t>Readings in Property and Casualty Insurance</w:t>
      </w:r>
      <w:r w:rsidRPr="00F16BC6">
        <w:rPr>
          <w:rFonts w:ascii="Times New Roman" w:hAnsi="Times New Roman" w:cs="Times New Roman"/>
          <w:sz w:val="22"/>
          <w:szCs w:val="22"/>
        </w:rPr>
        <w:t xml:space="preserve"> (1959)</w:t>
      </w:r>
      <w:r>
        <w:rPr>
          <w:rFonts w:ascii="Times New Roman" w:hAnsi="Times New Roman" w:cs="Times New Roman"/>
          <w:sz w:val="22"/>
          <w:szCs w:val="22"/>
        </w:rPr>
        <w:t>, Chapter 19 by Otis Clark (Principles of Company Underwriting and the Mechanics of Reinsurance)</w:t>
      </w:r>
      <w:r w:rsidRPr="00F16BC6">
        <w:rPr>
          <w:rFonts w:ascii="Times New Roman" w:hAnsi="Times New Roman" w:cs="Times New Roman"/>
          <w:sz w:val="22"/>
          <w:szCs w:val="22"/>
        </w:rPr>
        <w:t>.</w:t>
      </w:r>
      <w:r>
        <w:rPr>
          <w:rFonts w:ascii="Times New Roman" w:hAnsi="Times New Roman" w:cs="Times New Roman"/>
          <w:sz w:val="22"/>
          <w:szCs w:val="22"/>
        </w:rPr>
        <w:t xml:space="preserve">  In this chapter, Mr. Clark explains a “stop loss” or “excess of loss ratio” reinsurance pool as follows: “</w:t>
      </w:r>
      <w:r w:rsidRPr="004679D1">
        <w:rPr>
          <w:rFonts w:ascii="Times New Roman" w:hAnsi="Times New Roman" w:cs="Times New Roman"/>
          <w:sz w:val="22"/>
          <w:szCs w:val="22"/>
        </w:rPr>
        <w:t>Stop loss or excess of loss ratio covers are well named for they accomplish</w:t>
      </w:r>
      <w:r>
        <w:rPr>
          <w:rFonts w:ascii="Times New Roman" w:hAnsi="Times New Roman" w:cs="Times New Roman"/>
          <w:sz w:val="22"/>
          <w:szCs w:val="22"/>
        </w:rPr>
        <w:t xml:space="preserve"> </w:t>
      </w:r>
      <w:r w:rsidRPr="004679D1">
        <w:rPr>
          <w:rFonts w:ascii="Times New Roman" w:hAnsi="Times New Roman" w:cs="Times New Roman"/>
          <w:sz w:val="22"/>
          <w:szCs w:val="22"/>
        </w:rPr>
        <w:t>just that purpose; that is, by the use of such covers a company is</w:t>
      </w:r>
      <w:r>
        <w:rPr>
          <w:rFonts w:ascii="Times New Roman" w:hAnsi="Times New Roman" w:cs="Times New Roman"/>
          <w:sz w:val="22"/>
          <w:szCs w:val="22"/>
        </w:rPr>
        <w:t xml:space="preserve"> </w:t>
      </w:r>
      <w:r w:rsidRPr="004679D1">
        <w:rPr>
          <w:rFonts w:ascii="Times New Roman" w:hAnsi="Times New Roman" w:cs="Times New Roman"/>
          <w:sz w:val="22"/>
          <w:szCs w:val="22"/>
        </w:rPr>
        <w:t>able to determine a given loss ratio it is willing to sustain on a given classification</w:t>
      </w:r>
      <w:r>
        <w:rPr>
          <w:rFonts w:ascii="Times New Roman" w:hAnsi="Times New Roman" w:cs="Times New Roman"/>
          <w:sz w:val="22"/>
          <w:szCs w:val="22"/>
        </w:rPr>
        <w:t xml:space="preserve"> </w:t>
      </w:r>
      <w:r w:rsidRPr="004679D1">
        <w:rPr>
          <w:rFonts w:ascii="Times New Roman" w:hAnsi="Times New Roman" w:cs="Times New Roman"/>
          <w:sz w:val="22"/>
          <w:szCs w:val="22"/>
        </w:rPr>
        <w:t>of business. One of the most common usages of this form applies</w:t>
      </w:r>
      <w:r>
        <w:rPr>
          <w:rFonts w:ascii="Times New Roman" w:hAnsi="Times New Roman" w:cs="Times New Roman"/>
          <w:sz w:val="22"/>
          <w:szCs w:val="22"/>
        </w:rPr>
        <w:t xml:space="preserve"> </w:t>
      </w:r>
      <w:r w:rsidRPr="004679D1">
        <w:rPr>
          <w:rFonts w:ascii="Times New Roman" w:hAnsi="Times New Roman" w:cs="Times New Roman"/>
          <w:sz w:val="22"/>
          <w:szCs w:val="22"/>
        </w:rPr>
        <w:t>to hail insurance. The mechanics of this type of cover usually works out</w:t>
      </w:r>
      <w:r>
        <w:rPr>
          <w:rFonts w:ascii="Times New Roman" w:hAnsi="Times New Roman" w:cs="Times New Roman"/>
          <w:sz w:val="22"/>
          <w:szCs w:val="22"/>
        </w:rPr>
        <w:t xml:space="preserve"> </w:t>
      </w:r>
      <w:r w:rsidRPr="004679D1">
        <w:rPr>
          <w:rFonts w:ascii="Times New Roman" w:hAnsi="Times New Roman" w:cs="Times New Roman"/>
          <w:sz w:val="22"/>
          <w:szCs w:val="22"/>
        </w:rPr>
        <w:t>something like this</w:t>
      </w:r>
      <w:r>
        <w:rPr>
          <w:rFonts w:ascii="Times New Roman" w:hAnsi="Times New Roman" w:cs="Times New Roman"/>
          <w:sz w:val="22"/>
          <w:szCs w:val="22"/>
        </w:rPr>
        <w:t xml:space="preserve"> – </w:t>
      </w:r>
      <w:r w:rsidRPr="004679D1">
        <w:rPr>
          <w:rFonts w:ascii="Times New Roman" w:hAnsi="Times New Roman" w:cs="Times New Roman"/>
          <w:sz w:val="22"/>
          <w:szCs w:val="22"/>
        </w:rPr>
        <w:t>a company wants to stop its earned premium loss</w:t>
      </w:r>
    </w:p>
    <w:p w14:paraId="2B886750" w14:textId="77777777" w:rsidR="00434620" w:rsidRPr="00F16BC6" w:rsidRDefault="00434620" w:rsidP="00EA34BA">
      <w:pPr>
        <w:pStyle w:val="EndnoteText"/>
        <w:rPr>
          <w:rFonts w:ascii="Times New Roman" w:hAnsi="Times New Roman" w:cs="Times New Roman"/>
          <w:sz w:val="22"/>
          <w:szCs w:val="22"/>
        </w:rPr>
      </w:pPr>
      <w:r w:rsidRPr="004679D1">
        <w:rPr>
          <w:rFonts w:ascii="Times New Roman" w:hAnsi="Times New Roman" w:cs="Times New Roman"/>
          <w:sz w:val="22"/>
          <w:szCs w:val="22"/>
        </w:rPr>
        <w:t>ratio on its hail writings at 60 per cent, which means that as soon as its</w:t>
      </w:r>
      <w:r>
        <w:rPr>
          <w:rFonts w:ascii="Times New Roman" w:hAnsi="Times New Roman" w:cs="Times New Roman"/>
          <w:sz w:val="22"/>
          <w:szCs w:val="22"/>
        </w:rPr>
        <w:t xml:space="preserve"> </w:t>
      </w:r>
      <w:r w:rsidRPr="004679D1">
        <w:rPr>
          <w:rFonts w:ascii="Times New Roman" w:hAnsi="Times New Roman" w:cs="Times New Roman"/>
          <w:sz w:val="22"/>
          <w:szCs w:val="22"/>
        </w:rPr>
        <w:t>experience has hit this factor its stop loss cover steps in to provide the</w:t>
      </w:r>
      <w:r>
        <w:rPr>
          <w:rFonts w:ascii="Times New Roman" w:hAnsi="Times New Roman" w:cs="Times New Roman"/>
          <w:sz w:val="22"/>
          <w:szCs w:val="22"/>
        </w:rPr>
        <w:t xml:space="preserve"> </w:t>
      </w:r>
      <w:r w:rsidRPr="004679D1">
        <w:rPr>
          <w:rFonts w:ascii="Times New Roman" w:hAnsi="Times New Roman" w:cs="Times New Roman"/>
          <w:sz w:val="22"/>
          <w:szCs w:val="22"/>
        </w:rPr>
        <w:t>balance of cover up to certain prescribed limits. Many of these forms of</w:t>
      </w:r>
      <w:r>
        <w:rPr>
          <w:rFonts w:ascii="Times New Roman" w:hAnsi="Times New Roman" w:cs="Times New Roman"/>
          <w:sz w:val="22"/>
          <w:szCs w:val="22"/>
        </w:rPr>
        <w:t xml:space="preserve"> </w:t>
      </w:r>
      <w:r w:rsidRPr="004679D1">
        <w:rPr>
          <w:rFonts w:ascii="Times New Roman" w:hAnsi="Times New Roman" w:cs="Times New Roman"/>
          <w:sz w:val="22"/>
          <w:szCs w:val="22"/>
        </w:rPr>
        <w:t>contracts require the originating company to stand for its own account</w:t>
      </w:r>
      <w:r>
        <w:rPr>
          <w:rFonts w:ascii="Times New Roman" w:hAnsi="Times New Roman" w:cs="Times New Roman"/>
          <w:sz w:val="22"/>
          <w:szCs w:val="22"/>
        </w:rPr>
        <w:t xml:space="preserve"> </w:t>
      </w:r>
      <w:r w:rsidRPr="004679D1">
        <w:rPr>
          <w:rFonts w:ascii="Times New Roman" w:hAnsi="Times New Roman" w:cs="Times New Roman"/>
          <w:sz w:val="22"/>
          <w:szCs w:val="22"/>
        </w:rPr>
        <w:t>at least a small percentage of the amounts involved over and above the</w:t>
      </w:r>
      <w:r>
        <w:rPr>
          <w:rFonts w:ascii="Times New Roman" w:hAnsi="Times New Roman" w:cs="Times New Roman"/>
          <w:sz w:val="22"/>
          <w:szCs w:val="22"/>
        </w:rPr>
        <w:t xml:space="preserve"> </w:t>
      </w:r>
      <w:r w:rsidRPr="004679D1">
        <w:rPr>
          <w:rFonts w:ascii="Times New Roman" w:hAnsi="Times New Roman" w:cs="Times New Roman"/>
          <w:sz w:val="22"/>
          <w:szCs w:val="22"/>
        </w:rPr>
        <w:t>prearranged loss ratio limit. In other words, these covers are so flexible</w:t>
      </w:r>
      <w:r>
        <w:rPr>
          <w:rFonts w:ascii="Times New Roman" w:hAnsi="Times New Roman" w:cs="Times New Roman"/>
          <w:sz w:val="22"/>
          <w:szCs w:val="22"/>
        </w:rPr>
        <w:t xml:space="preserve"> </w:t>
      </w:r>
      <w:r w:rsidRPr="004679D1">
        <w:rPr>
          <w:rFonts w:ascii="Times New Roman" w:hAnsi="Times New Roman" w:cs="Times New Roman"/>
          <w:sz w:val="22"/>
          <w:szCs w:val="22"/>
        </w:rPr>
        <w:t>in design that they can be arranged to fit any imaginable set of conditions.</w:t>
      </w:r>
      <w:r>
        <w:rPr>
          <w:rFonts w:ascii="Times New Roman" w:hAnsi="Times New Roman" w:cs="Times New Roman"/>
          <w:sz w:val="22"/>
          <w:szCs w:val="22"/>
        </w:rPr>
        <w:t xml:space="preserve">  </w:t>
      </w:r>
      <w:r w:rsidRPr="004679D1">
        <w:rPr>
          <w:rFonts w:ascii="Times New Roman" w:hAnsi="Times New Roman" w:cs="Times New Roman"/>
          <w:sz w:val="22"/>
          <w:szCs w:val="22"/>
        </w:rPr>
        <w:t>Hail insurance is only one type of risk protected against such losses.</w:t>
      </w:r>
      <w:r>
        <w:rPr>
          <w:rFonts w:ascii="Times New Roman" w:hAnsi="Times New Roman" w:cs="Times New Roman"/>
          <w:sz w:val="22"/>
          <w:szCs w:val="22"/>
        </w:rPr>
        <w:t xml:space="preserve">  </w:t>
      </w:r>
      <w:r w:rsidRPr="00EA34BA">
        <w:rPr>
          <w:rFonts w:ascii="Times New Roman" w:hAnsi="Times New Roman" w:cs="Times New Roman"/>
          <w:sz w:val="22"/>
          <w:szCs w:val="22"/>
          <w:u w:val="single"/>
        </w:rPr>
        <w:t>In fact, these covers apply equally well on any class of business exposed to catastrophic losses</w:t>
      </w:r>
      <w:r w:rsidRPr="00EA34BA">
        <w:rPr>
          <w:rFonts w:ascii="Times New Roman" w:hAnsi="Times New Roman" w:cs="Times New Roman"/>
          <w:sz w:val="22"/>
          <w:szCs w:val="22"/>
        </w:rPr>
        <w:t>.</w:t>
      </w:r>
      <w:r>
        <w:rPr>
          <w:rFonts w:ascii="Times New Roman" w:hAnsi="Times New Roman" w:cs="Times New Roman"/>
          <w:sz w:val="22"/>
          <w:szCs w:val="22"/>
        </w:rPr>
        <w:t>”  (Emphasis added).</w:t>
      </w:r>
    </w:p>
    <w:p w14:paraId="2AF03A56" w14:textId="77777777" w:rsidR="00434620" w:rsidRPr="00F16BC6" w:rsidRDefault="00434620">
      <w:pPr>
        <w:pStyle w:val="EndnoteText"/>
        <w:rPr>
          <w:rFonts w:ascii="Times New Roman" w:hAnsi="Times New Roman" w:cs="Times New Roman"/>
          <w:sz w:val="22"/>
          <w:szCs w:val="22"/>
        </w:rPr>
      </w:pPr>
    </w:p>
  </w:endnote>
  <w:endnote w:id="89">
    <w:p w14:paraId="5CFAB9A6" w14:textId="77777777" w:rsidR="00434620" w:rsidRDefault="00434620">
      <w:pPr>
        <w:pStyle w:val="EndnoteText"/>
        <w:rPr>
          <w:rFonts w:ascii="Times New Roman" w:hAnsi="Times New Roman" w:cs="Times New Roman"/>
          <w:sz w:val="22"/>
          <w:szCs w:val="22"/>
        </w:rPr>
      </w:pPr>
      <w:r w:rsidRPr="00F3721C">
        <w:rPr>
          <w:rStyle w:val="EndnoteReference"/>
          <w:rFonts w:ascii="Times New Roman" w:hAnsi="Times New Roman" w:cs="Times New Roman"/>
          <w:sz w:val="22"/>
          <w:szCs w:val="22"/>
        </w:rPr>
        <w:endnoteRef/>
      </w:r>
      <w:r w:rsidRPr="00F3721C">
        <w:rPr>
          <w:rFonts w:ascii="Times New Roman" w:hAnsi="Times New Roman" w:cs="Times New Roman"/>
          <w:sz w:val="22"/>
          <w:szCs w:val="22"/>
        </w:rPr>
        <w:t xml:space="preserve"> </w:t>
      </w:r>
      <w:r w:rsidRPr="00E14B97">
        <w:rPr>
          <w:rFonts w:ascii="Times New Roman" w:hAnsi="Times New Roman" w:cs="Times New Roman"/>
          <w:i/>
          <w:sz w:val="22"/>
          <w:szCs w:val="22"/>
        </w:rPr>
        <w:t>See</w:t>
      </w:r>
      <w:r w:rsidRPr="00F3721C">
        <w:rPr>
          <w:rFonts w:ascii="Times New Roman" w:hAnsi="Times New Roman" w:cs="Times New Roman"/>
          <w:sz w:val="22"/>
          <w:szCs w:val="22"/>
        </w:rPr>
        <w:t xml:space="preserve"> </w:t>
      </w:r>
      <w:r w:rsidRPr="00044DCC">
        <w:rPr>
          <w:rFonts w:ascii="Times New Roman" w:hAnsi="Times New Roman" w:cs="Times New Roman"/>
          <w:i/>
          <w:sz w:val="22"/>
          <w:szCs w:val="22"/>
        </w:rPr>
        <w:t>Reserve</w:t>
      </w:r>
      <w:r>
        <w:rPr>
          <w:rFonts w:ascii="Times New Roman" w:hAnsi="Times New Roman" w:cs="Times New Roman"/>
          <w:sz w:val="22"/>
          <w:szCs w:val="22"/>
        </w:rPr>
        <w:t xml:space="preserve"> </w:t>
      </w:r>
      <w:r w:rsidRPr="00F3721C">
        <w:rPr>
          <w:rFonts w:ascii="Times New Roman" w:hAnsi="Times New Roman" w:cs="Times New Roman"/>
          <w:sz w:val="22"/>
          <w:szCs w:val="22"/>
        </w:rPr>
        <w:t>at page 41.</w:t>
      </w:r>
    </w:p>
    <w:p w14:paraId="19B10F4A" w14:textId="77777777" w:rsidR="00434620" w:rsidRPr="00F02CBD" w:rsidRDefault="00434620">
      <w:pPr>
        <w:pStyle w:val="EndnoteText"/>
        <w:rPr>
          <w:rFonts w:ascii="Times New Roman" w:hAnsi="Times New Roman" w:cs="Times New Roman"/>
          <w:sz w:val="22"/>
          <w:szCs w:val="22"/>
        </w:rPr>
      </w:pPr>
    </w:p>
  </w:endnote>
  <w:endnote w:id="90">
    <w:p w14:paraId="38A458A2" w14:textId="0E6987C5" w:rsidR="00434620" w:rsidRPr="00AB07DC" w:rsidRDefault="00434620">
      <w:pPr>
        <w:pStyle w:val="EndnoteText"/>
        <w:rPr>
          <w:rFonts w:ascii="Times New Roman" w:hAnsi="Times New Roman" w:cs="Times New Roman"/>
          <w:sz w:val="22"/>
          <w:szCs w:val="22"/>
        </w:rPr>
      </w:pPr>
      <w:r w:rsidRPr="00AB07DC">
        <w:rPr>
          <w:rStyle w:val="EndnoteReference"/>
          <w:rFonts w:ascii="Times New Roman" w:hAnsi="Times New Roman" w:cs="Times New Roman"/>
          <w:sz w:val="22"/>
          <w:szCs w:val="22"/>
        </w:rPr>
        <w:endnoteRef/>
      </w:r>
      <w:r w:rsidRPr="00AB07DC">
        <w:rPr>
          <w:rFonts w:ascii="Times New Roman" w:hAnsi="Times New Roman" w:cs="Times New Roman"/>
          <w:sz w:val="22"/>
          <w:szCs w:val="22"/>
        </w:rPr>
        <w:t xml:space="preserve"> </w:t>
      </w:r>
      <w:r>
        <w:rPr>
          <w:rFonts w:ascii="Times New Roman" w:hAnsi="Times New Roman" w:cs="Times New Roman"/>
          <w:sz w:val="22"/>
          <w:szCs w:val="22"/>
        </w:rPr>
        <w:t xml:space="preserve">Actuaries testifying or providing support for Reserve’s policy pricing included: </w:t>
      </w:r>
      <w:r w:rsidRPr="00EE7249">
        <w:rPr>
          <w:rFonts w:ascii="Times New Roman" w:hAnsi="Times New Roman" w:cs="Times New Roman"/>
          <w:b/>
          <w:sz w:val="22"/>
          <w:szCs w:val="22"/>
        </w:rPr>
        <w:t>(1) Esperanza Mead</w:t>
      </w:r>
      <w:r>
        <w:rPr>
          <w:rFonts w:ascii="Times New Roman" w:hAnsi="Times New Roman" w:cs="Times New Roman"/>
          <w:sz w:val="22"/>
          <w:szCs w:val="22"/>
        </w:rPr>
        <w:t xml:space="preserve"> (testifying that Reserve’s policy pricing was reasonable)</w:t>
      </w:r>
      <w:r w:rsidRPr="0067533F">
        <w:rPr>
          <w:rFonts w:ascii="Times New Roman" w:hAnsi="Times New Roman" w:cs="Times New Roman"/>
          <w:sz w:val="22"/>
          <w:szCs w:val="22"/>
        </w:rPr>
        <w:t>,</w:t>
      </w:r>
      <w:r>
        <w:rPr>
          <w:rFonts w:ascii="Times New Roman" w:hAnsi="Times New Roman" w:cs="Times New Roman"/>
          <w:sz w:val="22"/>
          <w:szCs w:val="22"/>
        </w:rPr>
        <w:t xml:space="preserve"> see</w:t>
      </w:r>
      <w:r w:rsidRPr="0067533F">
        <w:rPr>
          <w:rFonts w:ascii="Times New Roman" w:hAnsi="Times New Roman" w:cs="Times New Roman"/>
          <w:sz w:val="22"/>
          <w:szCs w:val="22"/>
        </w:rPr>
        <w:t xml:space="preserve"> Tr</w:t>
      </w:r>
      <w:r>
        <w:rPr>
          <w:rFonts w:ascii="Times New Roman" w:hAnsi="Times New Roman" w:cs="Times New Roman"/>
          <w:sz w:val="22"/>
          <w:szCs w:val="22"/>
        </w:rPr>
        <w:t>.</w:t>
      </w:r>
      <w:r w:rsidRPr="0067533F">
        <w:rPr>
          <w:rFonts w:ascii="Times New Roman" w:hAnsi="Times New Roman" w:cs="Times New Roman"/>
          <w:sz w:val="22"/>
          <w:szCs w:val="22"/>
        </w:rPr>
        <w:t xml:space="preserve"> at 407-436 and Exhibit 113-P (Expert Actuarial Peer Review Report of Esperanza Mead</w:t>
      </w:r>
      <w:r>
        <w:rPr>
          <w:rFonts w:ascii="Times New Roman" w:hAnsi="Times New Roman" w:cs="Times New Roman"/>
          <w:sz w:val="22"/>
          <w:szCs w:val="22"/>
        </w:rPr>
        <w:t xml:space="preserve">, </w:t>
      </w:r>
      <w:r w:rsidRPr="0067533F">
        <w:rPr>
          <w:rFonts w:ascii="Times New Roman" w:hAnsi="Times New Roman" w:cs="Times New Roman"/>
          <w:sz w:val="22"/>
          <w:szCs w:val="22"/>
        </w:rPr>
        <w:t>March 10, 2017</w:t>
      </w:r>
      <w:r>
        <w:rPr>
          <w:rFonts w:ascii="Times New Roman" w:hAnsi="Times New Roman" w:cs="Times New Roman"/>
          <w:sz w:val="22"/>
          <w:szCs w:val="22"/>
        </w:rPr>
        <w:t xml:space="preserve">), </w:t>
      </w:r>
      <w:r w:rsidRPr="00EE7249">
        <w:rPr>
          <w:rFonts w:ascii="Times New Roman" w:hAnsi="Times New Roman" w:cs="Times New Roman"/>
          <w:b/>
          <w:sz w:val="22"/>
          <w:szCs w:val="22"/>
        </w:rPr>
        <w:t>(2) Michael Solomon</w:t>
      </w:r>
      <w:r>
        <w:rPr>
          <w:rFonts w:ascii="Times New Roman" w:hAnsi="Times New Roman" w:cs="Times New Roman"/>
          <w:sz w:val="22"/>
          <w:szCs w:val="22"/>
        </w:rPr>
        <w:t xml:space="preserve">, </w:t>
      </w:r>
      <w:r w:rsidRPr="00917DA8">
        <w:rPr>
          <w:rFonts w:ascii="Times New Roman" w:hAnsi="Times New Roman" w:cs="Times New Roman"/>
          <w:sz w:val="22"/>
          <w:szCs w:val="22"/>
        </w:rPr>
        <w:t xml:space="preserve">testifying </w:t>
      </w:r>
      <w:r>
        <w:rPr>
          <w:rFonts w:ascii="Times New Roman" w:hAnsi="Times New Roman" w:cs="Times New Roman"/>
          <w:sz w:val="22"/>
          <w:szCs w:val="22"/>
        </w:rPr>
        <w:t xml:space="preserve">that Reserve’s policy pricing was </w:t>
      </w:r>
      <w:r w:rsidRPr="00917DA8">
        <w:rPr>
          <w:rFonts w:ascii="Times New Roman" w:hAnsi="Times New Roman" w:cs="Times New Roman"/>
          <w:sz w:val="22"/>
          <w:szCs w:val="22"/>
        </w:rPr>
        <w:t>reasonabl</w:t>
      </w:r>
      <w:r>
        <w:rPr>
          <w:rFonts w:ascii="Times New Roman" w:hAnsi="Times New Roman" w:cs="Times New Roman"/>
          <w:sz w:val="22"/>
          <w:szCs w:val="22"/>
        </w:rPr>
        <w:t>e,</w:t>
      </w:r>
      <w:r w:rsidRPr="00D2731B">
        <w:t xml:space="preserve"> </w:t>
      </w:r>
      <w:r>
        <w:rPr>
          <w:rFonts w:ascii="Times New Roman" w:hAnsi="Times New Roman" w:cs="Times New Roman"/>
          <w:sz w:val="22"/>
          <w:szCs w:val="22"/>
        </w:rPr>
        <w:t>s</w:t>
      </w:r>
      <w:r w:rsidRPr="00D2731B">
        <w:rPr>
          <w:rFonts w:ascii="Times New Roman" w:hAnsi="Times New Roman" w:cs="Times New Roman"/>
          <w:sz w:val="22"/>
          <w:szCs w:val="22"/>
        </w:rPr>
        <w:t>ee Tr</w:t>
      </w:r>
      <w:r>
        <w:rPr>
          <w:rFonts w:ascii="Times New Roman" w:hAnsi="Times New Roman" w:cs="Times New Roman"/>
          <w:sz w:val="22"/>
          <w:szCs w:val="22"/>
        </w:rPr>
        <w:t>.</w:t>
      </w:r>
      <w:r w:rsidRPr="00D2731B">
        <w:rPr>
          <w:rFonts w:ascii="Times New Roman" w:hAnsi="Times New Roman" w:cs="Times New Roman"/>
          <w:sz w:val="22"/>
          <w:szCs w:val="22"/>
        </w:rPr>
        <w:t xml:space="preserve"> at 466-494, and Exhibit 117-P (Expert Actuarial Review Report of Michael Solomon March 27, 2017).</w:t>
      </w:r>
      <w:r>
        <w:rPr>
          <w:rFonts w:ascii="Times New Roman" w:hAnsi="Times New Roman" w:cs="Times New Roman"/>
          <w:sz w:val="22"/>
          <w:szCs w:val="22"/>
        </w:rPr>
        <w:t xml:space="preserve"> </w:t>
      </w:r>
      <w:r w:rsidRPr="00EE7249">
        <w:rPr>
          <w:rFonts w:ascii="Times New Roman" w:hAnsi="Times New Roman" w:cs="Times New Roman"/>
          <w:b/>
          <w:sz w:val="22"/>
          <w:szCs w:val="22"/>
        </w:rPr>
        <w:t>(3) Gary Fagg</w:t>
      </w:r>
      <w:r>
        <w:rPr>
          <w:rFonts w:ascii="Times New Roman" w:hAnsi="Times New Roman" w:cs="Times New Roman"/>
          <w:sz w:val="22"/>
          <w:szCs w:val="22"/>
        </w:rPr>
        <w:t xml:space="preserve"> (testifying that he </w:t>
      </w:r>
      <w:r w:rsidRPr="00797EEB">
        <w:rPr>
          <w:rFonts w:ascii="Times New Roman" w:hAnsi="Times New Roman" w:cs="Times New Roman"/>
          <w:sz w:val="22"/>
          <w:szCs w:val="22"/>
        </w:rPr>
        <w:t xml:space="preserve">was closely involved with negotiating and administering </w:t>
      </w:r>
      <w:r>
        <w:rPr>
          <w:rFonts w:ascii="Times New Roman" w:hAnsi="Times New Roman" w:cs="Times New Roman"/>
          <w:sz w:val="22"/>
          <w:szCs w:val="22"/>
        </w:rPr>
        <w:t>PoolRe’s co</w:t>
      </w:r>
      <w:r w:rsidRPr="00797EEB">
        <w:rPr>
          <w:rFonts w:ascii="Times New Roman" w:hAnsi="Times New Roman" w:cs="Times New Roman"/>
          <w:sz w:val="22"/>
          <w:szCs w:val="22"/>
        </w:rPr>
        <w:t xml:space="preserve">insurance arrangement </w:t>
      </w:r>
      <w:r>
        <w:rPr>
          <w:rFonts w:ascii="Times New Roman" w:hAnsi="Times New Roman" w:cs="Times New Roman"/>
          <w:sz w:val="22"/>
          <w:szCs w:val="22"/>
        </w:rPr>
        <w:t xml:space="preserve">with a publicly held insurer </w:t>
      </w:r>
      <w:r w:rsidRPr="00797EEB">
        <w:rPr>
          <w:rFonts w:ascii="Times New Roman" w:hAnsi="Times New Roman" w:cs="Times New Roman"/>
          <w:sz w:val="22"/>
          <w:szCs w:val="22"/>
        </w:rPr>
        <w:t xml:space="preserve">for multiple years, </w:t>
      </w:r>
      <w:r>
        <w:rPr>
          <w:rFonts w:ascii="Times New Roman" w:hAnsi="Times New Roman" w:cs="Times New Roman"/>
          <w:sz w:val="22"/>
          <w:szCs w:val="22"/>
        </w:rPr>
        <w:t>s</w:t>
      </w:r>
      <w:r w:rsidRPr="00797EEB">
        <w:rPr>
          <w:rFonts w:ascii="Times New Roman" w:hAnsi="Times New Roman" w:cs="Times New Roman"/>
          <w:sz w:val="22"/>
          <w:szCs w:val="22"/>
        </w:rPr>
        <w:t>e</w:t>
      </w:r>
      <w:r>
        <w:rPr>
          <w:rFonts w:ascii="Times New Roman" w:hAnsi="Times New Roman" w:cs="Times New Roman"/>
          <w:sz w:val="22"/>
          <w:szCs w:val="22"/>
        </w:rPr>
        <w:t xml:space="preserve">e </w:t>
      </w:r>
      <w:r w:rsidRPr="00797EEB">
        <w:rPr>
          <w:rFonts w:ascii="Times New Roman" w:hAnsi="Times New Roman" w:cs="Times New Roman"/>
          <w:sz w:val="22"/>
          <w:szCs w:val="22"/>
        </w:rPr>
        <w:t>Tr</w:t>
      </w:r>
      <w:r>
        <w:rPr>
          <w:rFonts w:ascii="Times New Roman" w:hAnsi="Times New Roman" w:cs="Times New Roman"/>
          <w:sz w:val="22"/>
          <w:szCs w:val="22"/>
        </w:rPr>
        <w:t>.</w:t>
      </w:r>
      <w:r w:rsidRPr="00797EEB">
        <w:rPr>
          <w:rFonts w:ascii="Times New Roman" w:hAnsi="Times New Roman" w:cs="Times New Roman"/>
          <w:sz w:val="22"/>
          <w:szCs w:val="22"/>
        </w:rPr>
        <w:t xml:space="preserve"> at 442-447 and Exhibit 52-J (Credit Insurance Coinsurance Contract Issued to PoolRe Insurance Corp. by Reserve CC effective November 26, 2008)</w:t>
      </w:r>
      <w:r>
        <w:rPr>
          <w:rFonts w:ascii="Times New Roman" w:hAnsi="Times New Roman" w:cs="Times New Roman"/>
          <w:sz w:val="22"/>
          <w:szCs w:val="22"/>
        </w:rPr>
        <w:t xml:space="preserve">, and </w:t>
      </w:r>
      <w:r w:rsidRPr="00011073">
        <w:rPr>
          <w:rFonts w:ascii="Times New Roman" w:hAnsi="Times New Roman" w:cs="Times New Roman"/>
          <w:b/>
          <w:sz w:val="22"/>
          <w:szCs w:val="22"/>
        </w:rPr>
        <w:t>(4) Stephen Glicksman</w:t>
      </w:r>
      <w:r>
        <w:rPr>
          <w:rFonts w:ascii="Times New Roman" w:hAnsi="Times New Roman" w:cs="Times New Roman"/>
          <w:sz w:val="22"/>
          <w:szCs w:val="22"/>
        </w:rPr>
        <w:t xml:space="preserve"> (</w:t>
      </w:r>
      <w:r w:rsidRPr="00FA65B6">
        <w:rPr>
          <w:rFonts w:ascii="Times New Roman" w:hAnsi="Times New Roman" w:cs="Times New Roman"/>
          <w:sz w:val="22"/>
          <w:szCs w:val="22"/>
        </w:rPr>
        <w:t>provid</w:t>
      </w:r>
      <w:r>
        <w:rPr>
          <w:rFonts w:ascii="Times New Roman" w:hAnsi="Times New Roman" w:cs="Times New Roman"/>
          <w:sz w:val="22"/>
          <w:szCs w:val="22"/>
        </w:rPr>
        <w:t>ing</w:t>
      </w:r>
      <w:r w:rsidRPr="00FA65B6">
        <w:rPr>
          <w:rFonts w:ascii="Times New Roman" w:hAnsi="Times New Roman" w:cs="Times New Roman"/>
          <w:sz w:val="22"/>
          <w:szCs w:val="22"/>
        </w:rPr>
        <w:t xml:space="preserve"> advice about the “appropriate split” of premiums that were allocated between Reserve and PoolRe</w:t>
      </w:r>
      <w:r>
        <w:rPr>
          <w:rFonts w:ascii="Times New Roman" w:hAnsi="Times New Roman" w:cs="Times New Roman"/>
          <w:sz w:val="22"/>
          <w:szCs w:val="22"/>
        </w:rPr>
        <w:t xml:space="preserve"> for Reserve’s direct written coverages.  </w:t>
      </w:r>
      <w:r w:rsidRPr="00E14B97">
        <w:rPr>
          <w:rFonts w:ascii="Times New Roman" w:hAnsi="Times New Roman" w:cs="Times New Roman"/>
          <w:i/>
          <w:sz w:val="22"/>
          <w:szCs w:val="22"/>
        </w:rPr>
        <w:t>See also</w:t>
      </w:r>
      <w:r>
        <w:rPr>
          <w:rFonts w:ascii="Times New Roman" w:hAnsi="Times New Roman" w:cs="Times New Roman"/>
          <w:sz w:val="22"/>
          <w:szCs w:val="22"/>
        </w:rPr>
        <w:t xml:space="preserve"> </w:t>
      </w:r>
      <w:r w:rsidRPr="008461BF">
        <w:rPr>
          <w:rFonts w:ascii="Times New Roman" w:hAnsi="Times New Roman" w:cs="Times New Roman"/>
          <w:sz w:val="22"/>
          <w:szCs w:val="22"/>
        </w:rPr>
        <w:t>testimony of Lance McNeel</w:t>
      </w:r>
      <w:r>
        <w:rPr>
          <w:rFonts w:ascii="Times New Roman" w:hAnsi="Times New Roman" w:cs="Times New Roman"/>
          <w:sz w:val="22"/>
          <w:szCs w:val="22"/>
        </w:rPr>
        <w:t>, CPCU at</w:t>
      </w:r>
      <w:r w:rsidRPr="008461BF">
        <w:rPr>
          <w:rFonts w:ascii="Times New Roman" w:hAnsi="Times New Roman" w:cs="Times New Roman"/>
          <w:sz w:val="22"/>
          <w:szCs w:val="22"/>
        </w:rPr>
        <w:t xml:space="preserve"> Tr</w:t>
      </w:r>
      <w:r>
        <w:rPr>
          <w:rFonts w:ascii="Times New Roman" w:hAnsi="Times New Roman" w:cs="Times New Roman"/>
          <w:sz w:val="22"/>
          <w:szCs w:val="22"/>
        </w:rPr>
        <w:t>.</w:t>
      </w:r>
      <w:r w:rsidRPr="008461BF">
        <w:rPr>
          <w:rFonts w:ascii="Times New Roman" w:hAnsi="Times New Roman" w:cs="Times New Roman"/>
          <w:sz w:val="22"/>
          <w:szCs w:val="22"/>
        </w:rPr>
        <w:t xml:space="preserve"> at 369-372</w:t>
      </w:r>
      <w:r>
        <w:rPr>
          <w:rFonts w:ascii="Times New Roman" w:hAnsi="Times New Roman" w:cs="Times New Roman"/>
          <w:sz w:val="22"/>
          <w:szCs w:val="22"/>
        </w:rPr>
        <w:t>.</w:t>
      </w:r>
    </w:p>
    <w:p w14:paraId="13E91506" w14:textId="77777777" w:rsidR="00434620" w:rsidRPr="00AB07DC" w:rsidRDefault="00434620">
      <w:pPr>
        <w:pStyle w:val="EndnoteText"/>
        <w:rPr>
          <w:rFonts w:ascii="Times New Roman" w:hAnsi="Times New Roman" w:cs="Times New Roman"/>
          <w:sz w:val="22"/>
          <w:szCs w:val="22"/>
        </w:rPr>
      </w:pPr>
    </w:p>
  </w:endnote>
  <w:endnote w:id="91">
    <w:p w14:paraId="6FD8364F" w14:textId="6DDA717C" w:rsidR="00434620" w:rsidRPr="00D74A03" w:rsidRDefault="00434620">
      <w:pPr>
        <w:pStyle w:val="EndnoteText"/>
        <w:rPr>
          <w:rFonts w:ascii="Times New Roman" w:hAnsi="Times New Roman" w:cs="Times New Roman"/>
          <w:sz w:val="22"/>
          <w:szCs w:val="22"/>
        </w:rPr>
      </w:pPr>
      <w:r w:rsidRPr="00D74A03">
        <w:rPr>
          <w:rStyle w:val="EndnoteReference"/>
          <w:rFonts w:ascii="Times New Roman" w:hAnsi="Times New Roman" w:cs="Times New Roman"/>
          <w:sz w:val="22"/>
          <w:szCs w:val="22"/>
        </w:rPr>
        <w:endnoteRef/>
      </w:r>
      <w:r w:rsidRPr="00D74A03">
        <w:rPr>
          <w:rFonts w:ascii="Times New Roman" w:hAnsi="Times New Roman" w:cs="Times New Roman"/>
          <w:sz w:val="22"/>
          <w:szCs w:val="22"/>
        </w:rPr>
        <w:t xml:space="preserve"> </w:t>
      </w:r>
      <w:r w:rsidRPr="00E14B97">
        <w:rPr>
          <w:rFonts w:ascii="Times New Roman" w:hAnsi="Times New Roman" w:cs="Times New Roman"/>
          <w:i/>
          <w:sz w:val="22"/>
          <w:szCs w:val="22"/>
        </w:rPr>
        <w:t>See</w:t>
      </w:r>
      <w:r w:rsidRPr="00954C28">
        <w:rPr>
          <w:rFonts w:ascii="Times New Roman" w:hAnsi="Times New Roman" w:cs="Times New Roman"/>
          <w:sz w:val="22"/>
          <w:szCs w:val="22"/>
        </w:rPr>
        <w:t xml:space="preserve"> testimony of Lance McNeel, Tr</w:t>
      </w:r>
      <w:r>
        <w:rPr>
          <w:rFonts w:ascii="Times New Roman" w:hAnsi="Times New Roman" w:cs="Times New Roman"/>
          <w:sz w:val="22"/>
          <w:szCs w:val="22"/>
        </w:rPr>
        <w:t>.</w:t>
      </w:r>
      <w:r w:rsidRPr="00954C28">
        <w:rPr>
          <w:rFonts w:ascii="Times New Roman" w:hAnsi="Times New Roman" w:cs="Times New Roman"/>
          <w:sz w:val="22"/>
          <w:szCs w:val="22"/>
        </w:rPr>
        <w:t xml:space="preserve"> at</w:t>
      </w:r>
      <w:r>
        <w:rPr>
          <w:rFonts w:ascii="Times New Roman" w:hAnsi="Times New Roman" w:cs="Times New Roman"/>
          <w:sz w:val="22"/>
          <w:szCs w:val="22"/>
        </w:rPr>
        <w:t xml:space="preserve"> </w:t>
      </w:r>
      <w:r w:rsidRPr="00954C28">
        <w:rPr>
          <w:rFonts w:ascii="Times New Roman" w:hAnsi="Times New Roman" w:cs="Times New Roman"/>
          <w:sz w:val="22"/>
          <w:szCs w:val="22"/>
        </w:rPr>
        <w:t>341-342, and Exhibit 109-P (Pricing Indications, for policy periods ending 12/31/08, 12/31/09/ and 12/31/10, prepared for Reserve Casualty Corporation by Mid-Continent General Agency, Inc., Underwriters at Lloyds of London).</w:t>
      </w:r>
    </w:p>
    <w:p w14:paraId="54A85834" w14:textId="77777777" w:rsidR="00434620" w:rsidRPr="00D74A03" w:rsidRDefault="00434620">
      <w:pPr>
        <w:pStyle w:val="EndnoteText"/>
        <w:rPr>
          <w:rFonts w:ascii="Times New Roman" w:hAnsi="Times New Roman" w:cs="Times New Roman"/>
          <w:sz w:val="22"/>
          <w:szCs w:val="22"/>
        </w:rPr>
      </w:pPr>
    </w:p>
  </w:endnote>
  <w:endnote w:id="92">
    <w:p w14:paraId="5804FE74" w14:textId="3D17FBC1" w:rsidR="00434620" w:rsidRPr="003E7C33" w:rsidRDefault="00434620">
      <w:pPr>
        <w:pStyle w:val="EndnoteText"/>
        <w:rPr>
          <w:rFonts w:ascii="Times New Roman" w:hAnsi="Times New Roman" w:cs="Times New Roman"/>
          <w:sz w:val="22"/>
          <w:szCs w:val="22"/>
        </w:rPr>
      </w:pPr>
      <w:r w:rsidRPr="003E7C33">
        <w:rPr>
          <w:rStyle w:val="EndnoteReference"/>
          <w:rFonts w:ascii="Times New Roman" w:hAnsi="Times New Roman" w:cs="Times New Roman"/>
          <w:sz w:val="22"/>
          <w:szCs w:val="22"/>
        </w:rPr>
        <w:endnoteRef/>
      </w:r>
      <w:r w:rsidRPr="003E7C33">
        <w:rPr>
          <w:rFonts w:ascii="Times New Roman" w:hAnsi="Times New Roman" w:cs="Times New Roman"/>
          <w:sz w:val="22"/>
          <w:szCs w:val="22"/>
        </w:rPr>
        <w:t xml:space="preserve"> </w:t>
      </w:r>
      <w:r w:rsidRPr="00E14B97">
        <w:rPr>
          <w:rFonts w:ascii="Times New Roman" w:hAnsi="Times New Roman" w:cs="Times New Roman"/>
          <w:i/>
          <w:sz w:val="22"/>
          <w:szCs w:val="22"/>
        </w:rPr>
        <w:t>See</w:t>
      </w:r>
      <w:r w:rsidRPr="00EB51DE">
        <w:rPr>
          <w:rFonts w:ascii="Times New Roman" w:hAnsi="Times New Roman" w:cs="Times New Roman"/>
          <w:sz w:val="22"/>
          <w:szCs w:val="22"/>
        </w:rPr>
        <w:t xml:space="preserve"> testimony of Lance McNeel, Tr</w:t>
      </w:r>
      <w:r>
        <w:rPr>
          <w:rFonts w:ascii="Times New Roman" w:hAnsi="Times New Roman" w:cs="Times New Roman"/>
          <w:sz w:val="22"/>
          <w:szCs w:val="22"/>
        </w:rPr>
        <w:t>.</w:t>
      </w:r>
      <w:r w:rsidRPr="00EB51DE">
        <w:rPr>
          <w:rFonts w:ascii="Times New Roman" w:hAnsi="Times New Roman" w:cs="Times New Roman"/>
          <w:sz w:val="22"/>
          <w:szCs w:val="22"/>
        </w:rPr>
        <w:t xml:space="preserve"> at</w:t>
      </w:r>
      <w:r>
        <w:rPr>
          <w:rFonts w:ascii="Times New Roman" w:hAnsi="Times New Roman" w:cs="Times New Roman"/>
          <w:sz w:val="22"/>
          <w:szCs w:val="22"/>
        </w:rPr>
        <w:t xml:space="preserve"> </w:t>
      </w:r>
      <w:r w:rsidRPr="00EB51DE">
        <w:rPr>
          <w:rFonts w:ascii="Times New Roman" w:hAnsi="Times New Roman" w:cs="Times New Roman"/>
          <w:sz w:val="22"/>
          <w:szCs w:val="22"/>
        </w:rPr>
        <w:t>341-342, and Exhibit 109-P (Pricing Indications (for policy periods ending 12/31/08, 12/31/09/ and 12/31/10) prepared for Reserve Casualty Corporation by Mid-Continent General Agency, Inc., Underwriters at Lloyds of London))</w:t>
      </w:r>
      <w:r>
        <w:rPr>
          <w:rFonts w:ascii="Times New Roman" w:hAnsi="Times New Roman" w:cs="Times New Roman"/>
          <w:sz w:val="22"/>
          <w:szCs w:val="22"/>
        </w:rPr>
        <w:t>.</w:t>
      </w:r>
    </w:p>
    <w:p w14:paraId="52A27A09" w14:textId="77777777" w:rsidR="00434620" w:rsidRPr="003E7C33" w:rsidRDefault="00434620">
      <w:pPr>
        <w:pStyle w:val="EndnoteText"/>
        <w:rPr>
          <w:rFonts w:ascii="Times New Roman" w:hAnsi="Times New Roman" w:cs="Times New Roman"/>
          <w:sz w:val="22"/>
          <w:szCs w:val="22"/>
        </w:rPr>
      </w:pPr>
    </w:p>
  </w:endnote>
  <w:endnote w:id="93">
    <w:p w14:paraId="3E309990" w14:textId="5FD5AD7A" w:rsidR="00434620" w:rsidRPr="003E7C33" w:rsidRDefault="00434620">
      <w:pPr>
        <w:pStyle w:val="EndnoteText"/>
        <w:rPr>
          <w:rFonts w:ascii="Times New Roman" w:hAnsi="Times New Roman" w:cs="Times New Roman"/>
          <w:sz w:val="22"/>
          <w:szCs w:val="22"/>
        </w:rPr>
      </w:pPr>
      <w:r w:rsidRPr="003E7C33">
        <w:rPr>
          <w:rStyle w:val="EndnoteReference"/>
          <w:rFonts w:ascii="Times New Roman" w:hAnsi="Times New Roman" w:cs="Times New Roman"/>
          <w:sz w:val="22"/>
          <w:szCs w:val="22"/>
        </w:rPr>
        <w:endnoteRef/>
      </w:r>
      <w:r w:rsidRPr="003E7C33">
        <w:rPr>
          <w:rFonts w:ascii="Times New Roman" w:hAnsi="Times New Roman" w:cs="Times New Roman"/>
          <w:sz w:val="22"/>
          <w:szCs w:val="22"/>
        </w:rPr>
        <w:t xml:space="preserve"> </w:t>
      </w:r>
      <w:r w:rsidRPr="00E14B97">
        <w:rPr>
          <w:rFonts w:ascii="Times New Roman" w:hAnsi="Times New Roman" w:cs="Times New Roman"/>
          <w:i/>
          <w:sz w:val="22"/>
          <w:szCs w:val="22"/>
        </w:rPr>
        <w:t>See</w:t>
      </w:r>
      <w:r w:rsidRPr="00D7258E">
        <w:rPr>
          <w:rFonts w:ascii="Times New Roman" w:hAnsi="Times New Roman" w:cs="Times New Roman"/>
          <w:sz w:val="22"/>
          <w:szCs w:val="22"/>
        </w:rPr>
        <w:t xml:space="preserve"> Exhibit </w:t>
      </w:r>
      <w:r w:rsidRPr="00D7258E">
        <w:rPr>
          <w:rFonts w:ascii="Times New Roman" w:hAnsi="Times New Roman"/>
          <w:sz w:val="22"/>
        </w:rPr>
        <w:t>95-J</w:t>
      </w:r>
      <w:r w:rsidRPr="00D7258E">
        <w:rPr>
          <w:rFonts w:ascii="Times New Roman" w:hAnsi="Times New Roman" w:cs="Times New Roman"/>
          <w:sz w:val="22"/>
          <w:szCs w:val="22"/>
        </w:rPr>
        <w:t xml:space="preserve"> (Letter from actuary Steven Glicksman to Capstone’s Lance McNeel, C</w:t>
      </w:r>
      <w:r>
        <w:rPr>
          <w:rFonts w:ascii="Times New Roman" w:hAnsi="Times New Roman" w:cs="Times New Roman"/>
          <w:sz w:val="22"/>
          <w:szCs w:val="22"/>
        </w:rPr>
        <w:t xml:space="preserve">PCU, </w:t>
      </w:r>
      <w:r w:rsidRPr="00D7258E">
        <w:rPr>
          <w:rFonts w:ascii="Times New Roman" w:hAnsi="Times New Roman" w:cs="Times New Roman"/>
          <w:sz w:val="22"/>
          <w:szCs w:val="22"/>
        </w:rPr>
        <w:t>January 31, 2012 with “Discussion of PoolRe’s Coverage Options”), referenc</w:t>
      </w:r>
      <w:r>
        <w:rPr>
          <w:rFonts w:ascii="Times New Roman" w:hAnsi="Times New Roman" w:cs="Times New Roman"/>
          <w:sz w:val="22"/>
          <w:szCs w:val="22"/>
        </w:rPr>
        <w:t>ing</w:t>
      </w:r>
      <w:r w:rsidRPr="00D7258E">
        <w:rPr>
          <w:rFonts w:ascii="Times New Roman" w:hAnsi="Times New Roman" w:cs="Times New Roman"/>
          <w:sz w:val="22"/>
          <w:szCs w:val="22"/>
        </w:rPr>
        <w:t xml:space="preserve"> a previous letter from Mr. Glicksman </w:t>
      </w:r>
      <w:r>
        <w:rPr>
          <w:rFonts w:ascii="Times New Roman" w:hAnsi="Times New Roman" w:cs="Times New Roman"/>
          <w:sz w:val="22"/>
          <w:szCs w:val="22"/>
        </w:rPr>
        <w:t xml:space="preserve">to Mr. McNeel </w:t>
      </w:r>
      <w:r w:rsidRPr="00D7258E">
        <w:rPr>
          <w:rFonts w:ascii="Times New Roman" w:hAnsi="Times New Roman" w:cs="Times New Roman"/>
          <w:sz w:val="22"/>
          <w:szCs w:val="22"/>
        </w:rPr>
        <w:t>dated October 20, 2009.</w:t>
      </w:r>
      <w:r>
        <w:rPr>
          <w:rFonts w:ascii="Times New Roman" w:hAnsi="Times New Roman" w:cs="Times New Roman"/>
          <w:sz w:val="22"/>
          <w:szCs w:val="22"/>
        </w:rPr>
        <w:t xml:space="preserve">  </w:t>
      </w:r>
      <w:r w:rsidRPr="00E14B97">
        <w:rPr>
          <w:rFonts w:ascii="Times New Roman" w:hAnsi="Times New Roman" w:cs="Times New Roman"/>
          <w:i/>
          <w:sz w:val="22"/>
          <w:szCs w:val="22"/>
        </w:rPr>
        <w:t>See also</w:t>
      </w:r>
      <w:r>
        <w:rPr>
          <w:rFonts w:ascii="Times New Roman" w:hAnsi="Times New Roman" w:cs="Times New Roman"/>
          <w:sz w:val="22"/>
          <w:szCs w:val="22"/>
        </w:rPr>
        <w:t xml:space="preserve"> testimony of Lance McNeel, Tr. at 369-372, where Mr. McNeel testified that Mr. Glicksman is the actuary who provided Capstone advice about the “appropriate split” of premiums that were allocated between Reserve and PoolRe with respect to the direct written policies that were jointly underwritten by Reserve and PoolRe.  Mr. McNeel further testified that Exhibit 96-J was used by Capstone to set the “appropriate split.” </w:t>
      </w:r>
    </w:p>
    <w:p w14:paraId="69801189" w14:textId="77777777" w:rsidR="00434620" w:rsidRPr="003E7C33" w:rsidRDefault="00434620">
      <w:pPr>
        <w:pStyle w:val="EndnoteText"/>
        <w:rPr>
          <w:rFonts w:ascii="Times New Roman" w:hAnsi="Times New Roman" w:cs="Times New Roman"/>
          <w:sz w:val="22"/>
          <w:szCs w:val="22"/>
        </w:rPr>
      </w:pPr>
    </w:p>
  </w:endnote>
  <w:endnote w:id="94">
    <w:p w14:paraId="712DA802" w14:textId="77777777" w:rsidR="00434620" w:rsidRDefault="00434620" w:rsidP="00C45418">
      <w:pPr>
        <w:pStyle w:val="EndnoteText"/>
        <w:rPr>
          <w:rFonts w:ascii="Times New Roman" w:hAnsi="Times New Roman" w:cs="Times New Roman"/>
          <w:sz w:val="22"/>
          <w:szCs w:val="22"/>
        </w:rPr>
      </w:pPr>
      <w:r w:rsidRPr="00890E9B">
        <w:rPr>
          <w:rStyle w:val="EndnoteReference"/>
          <w:rFonts w:ascii="Times New Roman" w:hAnsi="Times New Roman" w:cs="Times New Roman"/>
          <w:sz w:val="22"/>
          <w:szCs w:val="22"/>
        </w:rPr>
        <w:endnoteRef/>
      </w:r>
      <w:r w:rsidRPr="00890E9B">
        <w:rPr>
          <w:rFonts w:ascii="Times New Roman" w:hAnsi="Times New Roman" w:cs="Times New Roman"/>
          <w:sz w:val="22"/>
          <w:szCs w:val="22"/>
        </w:rPr>
        <w:t xml:space="preserve"> </w:t>
      </w:r>
      <w:r w:rsidRPr="00E14B97">
        <w:rPr>
          <w:rFonts w:ascii="Times New Roman" w:hAnsi="Times New Roman" w:cs="Times New Roman"/>
          <w:i/>
          <w:sz w:val="22"/>
          <w:szCs w:val="22"/>
        </w:rPr>
        <w:t>See</w:t>
      </w:r>
      <w:r>
        <w:rPr>
          <w:rFonts w:ascii="Times New Roman" w:hAnsi="Times New Roman" w:cs="Times New Roman"/>
          <w:sz w:val="22"/>
          <w:szCs w:val="22"/>
        </w:rPr>
        <w:t xml:space="preserve"> presentation by Guy Carpenter Company at 2017 CAJPA Annual Conference</w:t>
      </w:r>
      <w:r w:rsidRPr="00890E9B">
        <w:rPr>
          <w:rFonts w:ascii="Times New Roman" w:hAnsi="Times New Roman" w:cs="Times New Roman"/>
          <w:sz w:val="22"/>
          <w:szCs w:val="22"/>
        </w:rPr>
        <w:t>, “</w:t>
      </w:r>
      <w:r>
        <w:rPr>
          <w:rFonts w:ascii="Times New Roman" w:hAnsi="Times New Roman" w:cs="Times New Roman"/>
          <w:i/>
          <w:sz w:val="22"/>
          <w:szCs w:val="22"/>
        </w:rPr>
        <w:t>Pools and the Reinsurance Market, What you need to know</w:t>
      </w:r>
      <w:r w:rsidRPr="00890E9B">
        <w:rPr>
          <w:rFonts w:ascii="Times New Roman" w:hAnsi="Times New Roman" w:cs="Times New Roman"/>
          <w:sz w:val="22"/>
          <w:szCs w:val="22"/>
        </w:rPr>
        <w:t xml:space="preserve">,” </w:t>
      </w:r>
      <w:r>
        <w:rPr>
          <w:rFonts w:ascii="Times New Roman" w:hAnsi="Times New Roman" w:cs="Times New Roman"/>
          <w:sz w:val="22"/>
          <w:szCs w:val="22"/>
        </w:rPr>
        <w:t>September 13</w:t>
      </w:r>
      <w:r w:rsidRPr="00890E9B">
        <w:rPr>
          <w:rFonts w:ascii="Times New Roman" w:hAnsi="Times New Roman" w:cs="Times New Roman"/>
          <w:sz w:val="22"/>
          <w:szCs w:val="22"/>
        </w:rPr>
        <w:t>, 201</w:t>
      </w:r>
      <w:r>
        <w:rPr>
          <w:rFonts w:ascii="Times New Roman" w:hAnsi="Times New Roman" w:cs="Times New Roman"/>
          <w:sz w:val="22"/>
          <w:szCs w:val="22"/>
        </w:rPr>
        <w:t>7, Slide 24</w:t>
      </w:r>
      <w:r w:rsidRPr="00890E9B">
        <w:rPr>
          <w:rFonts w:ascii="Times New Roman" w:hAnsi="Times New Roman" w:cs="Times New Roman"/>
          <w:sz w:val="22"/>
          <w:szCs w:val="22"/>
        </w:rPr>
        <w:t xml:space="preserve">. </w:t>
      </w:r>
      <w:r>
        <w:rPr>
          <w:rFonts w:ascii="Times New Roman" w:hAnsi="Times New Roman" w:cs="Times New Roman"/>
          <w:sz w:val="22"/>
          <w:szCs w:val="22"/>
        </w:rPr>
        <w:t xml:space="preserve"> This presentation </w:t>
      </w:r>
      <w:r w:rsidRPr="00890E9B">
        <w:rPr>
          <w:rFonts w:ascii="Times New Roman" w:hAnsi="Times New Roman" w:cs="Times New Roman"/>
          <w:sz w:val="22"/>
          <w:szCs w:val="22"/>
        </w:rPr>
        <w:t>can be viewed</w:t>
      </w:r>
      <w:r>
        <w:rPr>
          <w:rFonts w:ascii="Times New Roman" w:hAnsi="Times New Roman" w:cs="Times New Roman"/>
          <w:sz w:val="22"/>
          <w:szCs w:val="22"/>
        </w:rPr>
        <w:t xml:space="preserve"> </w:t>
      </w:r>
      <w:hyperlink r:id="rId6" w:history="1">
        <w:r w:rsidRPr="00A84E9F">
          <w:rPr>
            <w:rStyle w:val="Hyperlink"/>
            <w:rFonts w:ascii="Times New Roman" w:hAnsi="Times New Roman" w:cs="Times New Roman"/>
            <w:sz w:val="22"/>
            <w:szCs w:val="22"/>
          </w:rPr>
          <w:t>here</w:t>
        </w:r>
      </w:hyperlink>
      <w:r>
        <w:rPr>
          <w:rFonts w:ascii="Times New Roman" w:hAnsi="Times New Roman" w:cs="Times New Roman"/>
          <w:sz w:val="22"/>
          <w:szCs w:val="22"/>
        </w:rPr>
        <w:t xml:space="preserve">.  Guy Carpenter is a </w:t>
      </w:r>
      <w:r w:rsidRPr="004C3473">
        <w:rPr>
          <w:rFonts w:ascii="Times New Roman" w:hAnsi="Times New Roman" w:cs="Times New Roman"/>
          <w:sz w:val="22"/>
          <w:szCs w:val="22"/>
        </w:rPr>
        <w:t>risk and reinsurance intermediary</w:t>
      </w:r>
      <w:r>
        <w:rPr>
          <w:rFonts w:ascii="Times New Roman" w:hAnsi="Times New Roman" w:cs="Times New Roman"/>
          <w:sz w:val="22"/>
          <w:szCs w:val="22"/>
        </w:rPr>
        <w:t xml:space="preserve"> of </w:t>
      </w:r>
      <w:r w:rsidRPr="004C3473">
        <w:rPr>
          <w:rFonts w:ascii="Times New Roman" w:hAnsi="Times New Roman" w:cs="Times New Roman"/>
          <w:sz w:val="22"/>
          <w:szCs w:val="22"/>
        </w:rPr>
        <w:t>Marsh &amp; McLennan Companies, Inc</w:t>
      </w:r>
      <w:r>
        <w:rPr>
          <w:rFonts w:ascii="Times New Roman" w:hAnsi="Times New Roman" w:cs="Times New Roman"/>
          <w:sz w:val="22"/>
          <w:szCs w:val="22"/>
        </w:rPr>
        <w:t xml:space="preserve">., the world’s largest insurance brokerage firm. </w:t>
      </w:r>
    </w:p>
    <w:p w14:paraId="7F933C80" w14:textId="77777777" w:rsidR="00434620" w:rsidRPr="00890E9B" w:rsidRDefault="00434620" w:rsidP="00C45418">
      <w:pPr>
        <w:pStyle w:val="EndnoteText"/>
        <w:rPr>
          <w:rFonts w:ascii="Times New Roman" w:hAnsi="Times New Roman" w:cs="Times New Roman"/>
          <w:sz w:val="22"/>
          <w:szCs w:val="22"/>
        </w:rPr>
      </w:pPr>
    </w:p>
  </w:endnote>
  <w:endnote w:id="95">
    <w:p w14:paraId="4E84EA5E" w14:textId="77777777" w:rsidR="00434620" w:rsidRDefault="00434620" w:rsidP="00C45418">
      <w:pPr>
        <w:pStyle w:val="EndnoteText"/>
        <w:rPr>
          <w:rFonts w:ascii="Times New Roman" w:hAnsi="Times New Roman" w:cs="Times New Roman"/>
          <w:sz w:val="22"/>
          <w:szCs w:val="22"/>
        </w:rPr>
      </w:pPr>
      <w:r w:rsidRPr="00F76B4C">
        <w:rPr>
          <w:rStyle w:val="EndnoteReference"/>
          <w:rFonts w:ascii="Times New Roman" w:hAnsi="Times New Roman" w:cs="Times New Roman"/>
          <w:sz w:val="22"/>
          <w:szCs w:val="22"/>
        </w:rPr>
        <w:endnoteRef/>
      </w:r>
      <w:r w:rsidRPr="00F76B4C">
        <w:rPr>
          <w:rFonts w:ascii="Times New Roman" w:hAnsi="Times New Roman" w:cs="Times New Roman"/>
          <w:sz w:val="22"/>
          <w:szCs w:val="22"/>
        </w:rPr>
        <w:t xml:space="preserve"> </w:t>
      </w:r>
      <w:r w:rsidRPr="00F76B4C">
        <w:rPr>
          <w:rFonts w:ascii="Times New Roman" w:hAnsi="Times New Roman" w:cs="Times New Roman"/>
          <w:i/>
          <w:sz w:val="22"/>
          <w:szCs w:val="22"/>
        </w:rPr>
        <w:t>Id</w:t>
      </w:r>
      <w:r w:rsidRPr="00F76B4C">
        <w:rPr>
          <w:rFonts w:ascii="Times New Roman" w:hAnsi="Times New Roman" w:cs="Times New Roman"/>
          <w:sz w:val="22"/>
          <w:szCs w:val="22"/>
        </w:rPr>
        <w:t>.</w:t>
      </w:r>
      <w:r>
        <w:rPr>
          <w:rFonts w:ascii="Times New Roman" w:hAnsi="Times New Roman" w:cs="Times New Roman"/>
          <w:sz w:val="22"/>
          <w:szCs w:val="22"/>
        </w:rPr>
        <w:t xml:space="preserve"> at Slide 26.</w:t>
      </w:r>
    </w:p>
    <w:p w14:paraId="5C1FF954" w14:textId="77777777" w:rsidR="00434620" w:rsidRPr="00F76B4C" w:rsidRDefault="00434620" w:rsidP="00C45418">
      <w:pPr>
        <w:pStyle w:val="EndnoteText"/>
        <w:rPr>
          <w:rFonts w:ascii="Times New Roman" w:hAnsi="Times New Roman" w:cs="Times New Roman"/>
          <w:sz w:val="22"/>
          <w:szCs w:val="22"/>
        </w:rPr>
      </w:pPr>
    </w:p>
  </w:endnote>
  <w:endnote w:id="96">
    <w:p w14:paraId="51ACFBE8" w14:textId="77777777" w:rsidR="00434620" w:rsidRDefault="00434620">
      <w:pPr>
        <w:pStyle w:val="EndnoteText"/>
        <w:rPr>
          <w:rFonts w:ascii="Times New Roman" w:hAnsi="Times New Roman" w:cs="Times New Roman"/>
          <w:sz w:val="22"/>
          <w:szCs w:val="22"/>
        </w:rPr>
      </w:pPr>
      <w:r w:rsidRPr="00DA5BA5">
        <w:rPr>
          <w:rStyle w:val="EndnoteReference"/>
          <w:rFonts w:ascii="Times New Roman" w:hAnsi="Times New Roman" w:cs="Times New Roman"/>
          <w:sz w:val="22"/>
          <w:szCs w:val="22"/>
        </w:rPr>
        <w:endnoteRef/>
      </w:r>
      <w:r w:rsidRPr="00DA5BA5">
        <w:rPr>
          <w:rFonts w:ascii="Times New Roman" w:hAnsi="Times New Roman" w:cs="Times New Roman"/>
          <w:sz w:val="22"/>
          <w:szCs w:val="22"/>
        </w:rPr>
        <w:t xml:space="preserve"> </w:t>
      </w:r>
      <w:r w:rsidRPr="00E14B97">
        <w:rPr>
          <w:rFonts w:ascii="Times New Roman" w:hAnsi="Times New Roman" w:cs="Times New Roman"/>
          <w:i/>
          <w:sz w:val="22"/>
          <w:szCs w:val="22"/>
        </w:rPr>
        <w:t>See</w:t>
      </w:r>
      <w:r>
        <w:rPr>
          <w:rFonts w:ascii="Times New Roman" w:hAnsi="Times New Roman" w:cs="Times New Roman"/>
          <w:sz w:val="22"/>
          <w:szCs w:val="22"/>
        </w:rPr>
        <w:t xml:space="preserve"> </w:t>
      </w:r>
      <w:r w:rsidRPr="00621529">
        <w:rPr>
          <w:rFonts w:ascii="Times New Roman" w:hAnsi="Times New Roman" w:cs="Times New Roman"/>
          <w:i/>
          <w:sz w:val="22"/>
          <w:szCs w:val="22"/>
        </w:rPr>
        <w:t>Reserve</w:t>
      </w:r>
      <w:r>
        <w:rPr>
          <w:rFonts w:ascii="Times New Roman" w:hAnsi="Times New Roman" w:cs="Times New Roman"/>
          <w:sz w:val="22"/>
          <w:szCs w:val="22"/>
        </w:rPr>
        <w:t xml:space="preserve"> at page 61.</w:t>
      </w:r>
    </w:p>
    <w:p w14:paraId="7448DECD" w14:textId="77777777" w:rsidR="00434620" w:rsidRPr="00DA5BA5" w:rsidRDefault="00434620">
      <w:pPr>
        <w:pStyle w:val="EndnoteText"/>
        <w:rPr>
          <w:rFonts w:ascii="Times New Roman" w:hAnsi="Times New Roman" w:cs="Times New Roman"/>
          <w:sz w:val="22"/>
          <w:szCs w:val="22"/>
        </w:rPr>
      </w:pPr>
    </w:p>
  </w:endnote>
  <w:endnote w:id="97">
    <w:p w14:paraId="2A98516A" w14:textId="77777777" w:rsidR="00434620" w:rsidRPr="00BA25CA" w:rsidRDefault="00434620">
      <w:pPr>
        <w:pStyle w:val="EndnoteText"/>
        <w:rPr>
          <w:rFonts w:ascii="Times New Roman" w:hAnsi="Times New Roman" w:cs="Times New Roman"/>
          <w:sz w:val="22"/>
          <w:szCs w:val="22"/>
        </w:rPr>
      </w:pPr>
      <w:r w:rsidRPr="00BA25CA">
        <w:rPr>
          <w:rStyle w:val="EndnoteReference"/>
          <w:rFonts w:ascii="Times New Roman" w:hAnsi="Times New Roman" w:cs="Times New Roman"/>
          <w:sz w:val="22"/>
          <w:szCs w:val="22"/>
        </w:rPr>
        <w:endnoteRef/>
      </w:r>
      <w:r w:rsidRPr="00BA25CA">
        <w:rPr>
          <w:rFonts w:ascii="Times New Roman" w:hAnsi="Times New Roman" w:cs="Times New Roman"/>
          <w:sz w:val="22"/>
          <w:szCs w:val="22"/>
        </w:rPr>
        <w:t xml:space="preserve"> </w:t>
      </w:r>
      <w:r w:rsidRPr="00E14B97">
        <w:rPr>
          <w:rFonts w:ascii="Times New Roman" w:hAnsi="Times New Roman" w:cs="Times New Roman"/>
          <w:i/>
          <w:sz w:val="22"/>
          <w:szCs w:val="22"/>
        </w:rPr>
        <w:t>See</w:t>
      </w:r>
      <w:r>
        <w:rPr>
          <w:rFonts w:ascii="Times New Roman" w:hAnsi="Times New Roman" w:cs="Times New Roman"/>
          <w:sz w:val="22"/>
          <w:szCs w:val="22"/>
        </w:rPr>
        <w:t xml:space="preserve"> </w:t>
      </w:r>
      <w:r w:rsidRPr="00621529">
        <w:rPr>
          <w:rFonts w:ascii="Times New Roman" w:hAnsi="Times New Roman" w:cs="Times New Roman"/>
          <w:i/>
          <w:sz w:val="22"/>
          <w:szCs w:val="22"/>
        </w:rPr>
        <w:t>Reserve</w:t>
      </w:r>
      <w:r>
        <w:rPr>
          <w:rFonts w:ascii="Times New Roman" w:hAnsi="Times New Roman" w:cs="Times New Roman"/>
          <w:sz w:val="22"/>
          <w:szCs w:val="22"/>
        </w:rPr>
        <w:t xml:space="preserve"> at page 61.</w:t>
      </w:r>
    </w:p>
    <w:p w14:paraId="30781B90" w14:textId="77777777" w:rsidR="00434620" w:rsidRDefault="00434620">
      <w:pPr>
        <w:pStyle w:val="EndnoteText"/>
      </w:pPr>
    </w:p>
  </w:endnote>
  <w:endnote w:id="98">
    <w:p w14:paraId="0AC624CE" w14:textId="7F06375F" w:rsidR="00434620" w:rsidRPr="00E638DD" w:rsidRDefault="00434620">
      <w:pPr>
        <w:pStyle w:val="EndnoteText"/>
        <w:rPr>
          <w:rFonts w:ascii="Times New Roman" w:hAnsi="Times New Roman" w:cs="Times New Roman"/>
          <w:sz w:val="22"/>
          <w:szCs w:val="22"/>
        </w:rPr>
      </w:pPr>
      <w:r w:rsidRPr="00E638DD">
        <w:rPr>
          <w:rStyle w:val="EndnoteReference"/>
          <w:rFonts w:ascii="Times New Roman" w:hAnsi="Times New Roman" w:cs="Times New Roman"/>
          <w:sz w:val="22"/>
          <w:szCs w:val="22"/>
        </w:rPr>
        <w:endnoteRef/>
      </w:r>
      <w:r w:rsidRPr="00E638DD">
        <w:rPr>
          <w:rFonts w:ascii="Times New Roman" w:hAnsi="Times New Roman" w:cs="Times New Roman"/>
          <w:sz w:val="22"/>
          <w:szCs w:val="22"/>
        </w:rPr>
        <w:t xml:space="preserve"> </w:t>
      </w:r>
      <w:r w:rsidRPr="00E14B97">
        <w:rPr>
          <w:rFonts w:ascii="Times New Roman" w:hAnsi="Times New Roman" w:cs="Times New Roman"/>
          <w:i/>
          <w:sz w:val="22"/>
          <w:szCs w:val="22"/>
        </w:rPr>
        <w:t>See</w:t>
      </w:r>
      <w:r w:rsidRPr="001766E6">
        <w:rPr>
          <w:rFonts w:ascii="Times New Roman" w:hAnsi="Times New Roman" w:cs="Times New Roman"/>
          <w:sz w:val="22"/>
          <w:szCs w:val="22"/>
        </w:rPr>
        <w:t xml:space="preserve"> Note 111 infra.</w:t>
      </w:r>
      <w:r>
        <w:rPr>
          <w:rFonts w:ascii="Times New Roman" w:hAnsi="Times New Roman" w:cs="Times New Roman"/>
          <w:sz w:val="22"/>
          <w:szCs w:val="22"/>
        </w:rPr>
        <w:t xml:space="preserve"> </w:t>
      </w:r>
    </w:p>
    <w:p w14:paraId="6E7E9CDE" w14:textId="77777777" w:rsidR="00434620" w:rsidRPr="00E638DD" w:rsidRDefault="00434620">
      <w:pPr>
        <w:pStyle w:val="EndnoteText"/>
        <w:rPr>
          <w:rFonts w:ascii="Times New Roman" w:hAnsi="Times New Roman" w:cs="Times New Roman"/>
          <w:sz w:val="22"/>
          <w:szCs w:val="22"/>
        </w:rPr>
      </w:pPr>
    </w:p>
  </w:endnote>
  <w:endnote w:id="99">
    <w:p w14:paraId="0A54ED08" w14:textId="6180C787" w:rsidR="00434620" w:rsidRDefault="00434620" w:rsidP="005203E2">
      <w:pPr>
        <w:pStyle w:val="EndnoteText"/>
        <w:rPr>
          <w:rFonts w:ascii="Times New Roman" w:hAnsi="Times New Roman" w:cs="Times New Roman"/>
          <w:sz w:val="22"/>
          <w:szCs w:val="22"/>
        </w:rPr>
      </w:pPr>
      <w:r w:rsidRPr="0005321A">
        <w:rPr>
          <w:rStyle w:val="EndnoteReference"/>
          <w:rFonts w:ascii="Times New Roman" w:hAnsi="Times New Roman" w:cs="Times New Roman"/>
          <w:sz w:val="22"/>
          <w:szCs w:val="22"/>
        </w:rPr>
        <w:endnoteRef/>
      </w:r>
      <w:r w:rsidRPr="0005321A">
        <w:rPr>
          <w:rFonts w:ascii="Times New Roman" w:hAnsi="Times New Roman" w:cs="Times New Roman"/>
          <w:sz w:val="22"/>
          <w:szCs w:val="22"/>
        </w:rPr>
        <w:t xml:space="preserve"> </w:t>
      </w:r>
      <w:r w:rsidRPr="00E14B97">
        <w:rPr>
          <w:rFonts w:ascii="Times New Roman" w:hAnsi="Times New Roman" w:cs="Times New Roman"/>
          <w:i/>
          <w:sz w:val="22"/>
          <w:szCs w:val="22"/>
        </w:rPr>
        <w:t>See</w:t>
      </w:r>
      <w:r w:rsidRPr="00A0281B">
        <w:rPr>
          <w:rFonts w:ascii="Times New Roman" w:hAnsi="Times New Roman" w:cs="Times New Roman"/>
          <w:sz w:val="22"/>
          <w:szCs w:val="22"/>
        </w:rPr>
        <w:t xml:space="preserve"> testimony of Lance McNeel, Tr</w:t>
      </w:r>
      <w:r>
        <w:rPr>
          <w:rFonts w:ascii="Times New Roman" w:hAnsi="Times New Roman" w:cs="Times New Roman"/>
          <w:sz w:val="22"/>
          <w:szCs w:val="22"/>
        </w:rPr>
        <w:t>.</w:t>
      </w:r>
      <w:r w:rsidRPr="00A0281B">
        <w:rPr>
          <w:rFonts w:ascii="Times New Roman" w:hAnsi="Times New Roman" w:cs="Times New Roman"/>
          <w:sz w:val="22"/>
          <w:szCs w:val="22"/>
        </w:rPr>
        <w:t xml:space="preserve"> at</w:t>
      </w:r>
      <w:r>
        <w:rPr>
          <w:rFonts w:ascii="Times New Roman" w:hAnsi="Times New Roman" w:cs="Times New Roman"/>
          <w:sz w:val="22"/>
          <w:szCs w:val="22"/>
        </w:rPr>
        <w:t xml:space="preserve"> </w:t>
      </w:r>
      <w:r w:rsidRPr="00A0281B">
        <w:rPr>
          <w:rFonts w:ascii="Times New Roman" w:hAnsi="Times New Roman" w:cs="Times New Roman"/>
          <w:sz w:val="22"/>
          <w:szCs w:val="22"/>
        </w:rPr>
        <w:t>341-359.</w:t>
      </w:r>
    </w:p>
    <w:p w14:paraId="77161376" w14:textId="77777777" w:rsidR="00434620" w:rsidRPr="0005321A" w:rsidRDefault="00434620" w:rsidP="005203E2">
      <w:pPr>
        <w:pStyle w:val="EndnoteText"/>
        <w:rPr>
          <w:rFonts w:ascii="Times New Roman" w:hAnsi="Times New Roman" w:cs="Times New Roman"/>
          <w:sz w:val="22"/>
          <w:szCs w:val="22"/>
        </w:rPr>
      </w:pPr>
    </w:p>
  </w:endnote>
  <w:endnote w:id="100">
    <w:p w14:paraId="24F5819E" w14:textId="408020D6" w:rsidR="00434620" w:rsidRDefault="00434620" w:rsidP="008E4356">
      <w:pPr>
        <w:pStyle w:val="EndnoteText"/>
        <w:rPr>
          <w:rFonts w:ascii="Times New Roman" w:hAnsi="Times New Roman" w:cs="Times New Roman"/>
          <w:sz w:val="22"/>
          <w:szCs w:val="22"/>
        </w:rPr>
      </w:pPr>
      <w:r w:rsidRPr="0005321A">
        <w:rPr>
          <w:rStyle w:val="EndnoteReference"/>
          <w:rFonts w:ascii="Times New Roman" w:hAnsi="Times New Roman" w:cs="Times New Roman"/>
          <w:sz w:val="22"/>
          <w:szCs w:val="22"/>
        </w:rPr>
        <w:endnoteRef/>
      </w:r>
      <w:r w:rsidRPr="0005321A">
        <w:rPr>
          <w:rFonts w:ascii="Times New Roman" w:hAnsi="Times New Roman" w:cs="Times New Roman"/>
          <w:sz w:val="22"/>
          <w:szCs w:val="22"/>
        </w:rPr>
        <w:t xml:space="preserve"> </w:t>
      </w:r>
      <w:r w:rsidRPr="00E14B97">
        <w:rPr>
          <w:rFonts w:ascii="Times New Roman" w:hAnsi="Times New Roman" w:cs="Times New Roman"/>
          <w:i/>
          <w:sz w:val="22"/>
          <w:szCs w:val="22"/>
        </w:rPr>
        <w:t>See</w:t>
      </w:r>
      <w:r w:rsidRPr="00A0281B">
        <w:rPr>
          <w:rFonts w:ascii="Times New Roman" w:hAnsi="Times New Roman" w:cs="Times New Roman"/>
          <w:sz w:val="22"/>
          <w:szCs w:val="22"/>
        </w:rPr>
        <w:t xml:space="preserve"> testimony of Lance McNeel, Tr</w:t>
      </w:r>
      <w:r>
        <w:rPr>
          <w:rFonts w:ascii="Times New Roman" w:hAnsi="Times New Roman" w:cs="Times New Roman"/>
          <w:sz w:val="22"/>
          <w:szCs w:val="22"/>
        </w:rPr>
        <w:t>.</w:t>
      </w:r>
      <w:r w:rsidRPr="00A0281B">
        <w:rPr>
          <w:rFonts w:ascii="Times New Roman" w:hAnsi="Times New Roman" w:cs="Times New Roman"/>
          <w:sz w:val="22"/>
          <w:szCs w:val="22"/>
        </w:rPr>
        <w:t xml:space="preserve"> at 323-361</w:t>
      </w:r>
      <w:r>
        <w:rPr>
          <w:rFonts w:ascii="Times New Roman" w:hAnsi="Times New Roman" w:cs="Times New Roman"/>
          <w:sz w:val="22"/>
          <w:szCs w:val="22"/>
        </w:rPr>
        <w:t>.</w:t>
      </w:r>
    </w:p>
    <w:p w14:paraId="797A45AA" w14:textId="77777777" w:rsidR="00434620" w:rsidRPr="0005321A" w:rsidRDefault="00434620" w:rsidP="008E4356">
      <w:pPr>
        <w:pStyle w:val="EndnoteText"/>
        <w:rPr>
          <w:rFonts w:ascii="Times New Roman" w:hAnsi="Times New Roman" w:cs="Times New Roman"/>
          <w:sz w:val="22"/>
          <w:szCs w:val="22"/>
        </w:rPr>
      </w:pPr>
    </w:p>
  </w:endnote>
  <w:endnote w:id="101">
    <w:p w14:paraId="62CF7E98" w14:textId="77777777" w:rsidR="00434620" w:rsidRPr="00F47786" w:rsidRDefault="00434620" w:rsidP="008E4356">
      <w:pPr>
        <w:pStyle w:val="EndnoteText"/>
        <w:rPr>
          <w:rFonts w:ascii="Times New Roman" w:hAnsi="Times New Roman" w:cs="Times New Roman"/>
          <w:sz w:val="22"/>
          <w:szCs w:val="22"/>
        </w:rPr>
      </w:pPr>
      <w:r w:rsidRPr="00F47786">
        <w:rPr>
          <w:rStyle w:val="EndnoteReference"/>
          <w:rFonts w:ascii="Times New Roman" w:hAnsi="Times New Roman" w:cs="Times New Roman"/>
          <w:sz w:val="22"/>
          <w:szCs w:val="22"/>
        </w:rPr>
        <w:endnoteRef/>
      </w:r>
      <w:r w:rsidRPr="00F47786">
        <w:rPr>
          <w:rFonts w:ascii="Times New Roman" w:hAnsi="Times New Roman" w:cs="Times New Roman"/>
          <w:sz w:val="22"/>
          <w:szCs w:val="22"/>
        </w:rPr>
        <w:t xml:space="preserve"> </w:t>
      </w:r>
      <w:r w:rsidRPr="00F47786">
        <w:rPr>
          <w:rFonts w:ascii="Times New Roman" w:hAnsi="Times New Roman" w:cs="Times New Roman"/>
          <w:i/>
          <w:sz w:val="22"/>
          <w:szCs w:val="22"/>
        </w:rPr>
        <w:t>Id</w:t>
      </w:r>
      <w:r w:rsidRPr="00F47786">
        <w:rPr>
          <w:rFonts w:ascii="Times New Roman" w:hAnsi="Times New Roman" w:cs="Times New Roman"/>
          <w:sz w:val="22"/>
          <w:szCs w:val="22"/>
        </w:rPr>
        <w:t>.</w:t>
      </w:r>
    </w:p>
    <w:p w14:paraId="4D388687" w14:textId="77777777" w:rsidR="00434620" w:rsidRDefault="00434620" w:rsidP="008E4356">
      <w:pPr>
        <w:pStyle w:val="EndnoteText"/>
      </w:pPr>
    </w:p>
  </w:endnote>
  <w:endnote w:id="102">
    <w:p w14:paraId="0C8DC5CF" w14:textId="2F57B3DD" w:rsidR="00434620" w:rsidRDefault="00434620" w:rsidP="00C342AD">
      <w:pPr>
        <w:pStyle w:val="EndnoteText"/>
        <w:rPr>
          <w:rFonts w:ascii="Times New Roman" w:hAnsi="Times New Roman" w:cs="Times New Roman"/>
          <w:sz w:val="22"/>
          <w:szCs w:val="22"/>
        </w:rPr>
      </w:pPr>
      <w:r w:rsidRPr="0005321A">
        <w:rPr>
          <w:rStyle w:val="EndnoteReference"/>
          <w:rFonts w:ascii="Times New Roman" w:hAnsi="Times New Roman" w:cs="Times New Roman"/>
          <w:sz w:val="22"/>
          <w:szCs w:val="22"/>
        </w:rPr>
        <w:endnoteRef/>
      </w:r>
      <w:r w:rsidRPr="0005321A">
        <w:rPr>
          <w:rFonts w:ascii="Times New Roman" w:hAnsi="Times New Roman" w:cs="Times New Roman"/>
          <w:sz w:val="22"/>
          <w:szCs w:val="22"/>
        </w:rPr>
        <w:t xml:space="preserve"> </w:t>
      </w:r>
      <w:r w:rsidRPr="00E14B97">
        <w:rPr>
          <w:rFonts w:ascii="Times New Roman" w:hAnsi="Times New Roman" w:cs="Times New Roman"/>
          <w:i/>
          <w:sz w:val="22"/>
          <w:szCs w:val="22"/>
        </w:rPr>
        <w:t>See</w:t>
      </w:r>
      <w:r w:rsidRPr="00A0281B">
        <w:rPr>
          <w:rFonts w:ascii="Times New Roman" w:hAnsi="Times New Roman" w:cs="Times New Roman"/>
          <w:sz w:val="22"/>
          <w:szCs w:val="22"/>
        </w:rPr>
        <w:t xml:space="preserve"> testimony of Lance McNeel, Tr</w:t>
      </w:r>
      <w:r>
        <w:rPr>
          <w:rFonts w:ascii="Times New Roman" w:hAnsi="Times New Roman" w:cs="Times New Roman"/>
          <w:sz w:val="22"/>
          <w:szCs w:val="22"/>
        </w:rPr>
        <w:t>.</w:t>
      </w:r>
      <w:r w:rsidRPr="00A0281B">
        <w:rPr>
          <w:rFonts w:ascii="Times New Roman" w:hAnsi="Times New Roman" w:cs="Times New Roman"/>
          <w:sz w:val="22"/>
          <w:szCs w:val="22"/>
        </w:rPr>
        <w:t xml:space="preserve"> at 3</w:t>
      </w:r>
      <w:r>
        <w:rPr>
          <w:rFonts w:ascii="Times New Roman" w:hAnsi="Times New Roman" w:cs="Times New Roman"/>
          <w:sz w:val="22"/>
          <w:szCs w:val="22"/>
        </w:rPr>
        <w:t>56</w:t>
      </w:r>
      <w:r w:rsidRPr="00A0281B">
        <w:rPr>
          <w:rFonts w:ascii="Times New Roman" w:hAnsi="Times New Roman" w:cs="Times New Roman"/>
          <w:sz w:val="22"/>
          <w:szCs w:val="22"/>
        </w:rPr>
        <w:t>-36</w:t>
      </w:r>
      <w:r>
        <w:rPr>
          <w:rFonts w:ascii="Times New Roman" w:hAnsi="Times New Roman" w:cs="Times New Roman"/>
          <w:sz w:val="22"/>
          <w:szCs w:val="22"/>
        </w:rPr>
        <w:t xml:space="preserve">6.  </w:t>
      </w:r>
      <w:r w:rsidRPr="00590838">
        <w:rPr>
          <w:rFonts w:ascii="Times New Roman" w:hAnsi="Times New Roman" w:cs="Times New Roman"/>
          <w:sz w:val="22"/>
          <w:szCs w:val="22"/>
        </w:rPr>
        <w:t xml:space="preserve">Mr. McNeel testified that the premium pricing for each type of coverage that was underwritten by Reserve for </w:t>
      </w:r>
      <w:r>
        <w:rPr>
          <w:rFonts w:ascii="Times New Roman" w:hAnsi="Times New Roman" w:cs="Times New Roman"/>
          <w:sz w:val="22"/>
          <w:szCs w:val="22"/>
        </w:rPr>
        <w:t xml:space="preserve">the </w:t>
      </w:r>
      <w:r w:rsidRPr="00590838">
        <w:rPr>
          <w:rFonts w:ascii="Times New Roman" w:hAnsi="Times New Roman" w:cs="Times New Roman"/>
          <w:sz w:val="22"/>
          <w:szCs w:val="22"/>
        </w:rPr>
        <w:t xml:space="preserve">coverages provided to </w:t>
      </w:r>
      <w:r>
        <w:rPr>
          <w:rFonts w:ascii="Times New Roman" w:hAnsi="Times New Roman" w:cs="Times New Roman"/>
          <w:sz w:val="22"/>
          <w:szCs w:val="22"/>
        </w:rPr>
        <w:t xml:space="preserve">the </w:t>
      </w:r>
      <w:r w:rsidRPr="00590838">
        <w:rPr>
          <w:rFonts w:ascii="Times New Roman" w:hAnsi="Times New Roman" w:cs="Times New Roman"/>
          <w:sz w:val="22"/>
          <w:szCs w:val="22"/>
        </w:rPr>
        <w:t xml:space="preserve">Peak </w:t>
      </w:r>
      <w:r>
        <w:rPr>
          <w:rFonts w:ascii="Times New Roman" w:hAnsi="Times New Roman" w:cs="Times New Roman"/>
          <w:sz w:val="22"/>
          <w:szCs w:val="22"/>
        </w:rPr>
        <w:t xml:space="preserve">insureds, </w:t>
      </w:r>
      <w:r w:rsidRPr="00590838">
        <w:rPr>
          <w:rFonts w:ascii="Times New Roman" w:hAnsi="Times New Roman" w:cs="Times New Roman"/>
          <w:sz w:val="22"/>
          <w:szCs w:val="22"/>
        </w:rPr>
        <w:t>as reflected on Exhibit 112-P (Reserve Casualty Corp. - Rating Worksheet for Peak Mechanical, Inc. for policy years 2008, 2009, and 2010), took into account multiple individual factors, including Reserve</w:t>
      </w:r>
      <w:r>
        <w:rPr>
          <w:rFonts w:ascii="Times New Roman" w:hAnsi="Times New Roman" w:cs="Times New Roman"/>
          <w:sz w:val="22"/>
          <w:szCs w:val="22"/>
        </w:rPr>
        <w:t>’</w:t>
      </w:r>
      <w:r w:rsidRPr="00590838">
        <w:rPr>
          <w:rFonts w:ascii="Times New Roman" w:hAnsi="Times New Roman" w:cs="Times New Roman"/>
          <w:sz w:val="22"/>
          <w:szCs w:val="22"/>
        </w:rPr>
        <w:t>s premium indications (received from Mid-Continent General Agency, Inc.), the applicable policy limit, the exposure basis (based on either the insured</w:t>
      </w:r>
      <w:r>
        <w:rPr>
          <w:rFonts w:ascii="Times New Roman" w:hAnsi="Times New Roman" w:cs="Times New Roman"/>
          <w:sz w:val="22"/>
          <w:szCs w:val="22"/>
        </w:rPr>
        <w:t>’</w:t>
      </w:r>
      <w:r w:rsidRPr="00590838">
        <w:rPr>
          <w:rFonts w:ascii="Times New Roman" w:hAnsi="Times New Roman" w:cs="Times New Roman"/>
          <w:sz w:val="22"/>
          <w:szCs w:val="22"/>
        </w:rPr>
        <w:t xml:space="preserve">s revenue or the insured's number of employees), an increase limit factor, and the relevant policy period (i.e., whether the policy period was a short policy period or a full annual term policy period).  Mr. McNeel testified that a </w:t>
      </w:r>
      <w:r>
        <w:rPr>
          <w:rFonts w:ascii="Times New Roman" w:hAnsi="Times New Roman" w:cs="Times New Roman"/>
          <w:sz w:val="22"/>
          <w:szCs w:val="22"/>
        </w:rPr>
        <w:t>“</w:t>
      </w:r>
      <w:r w:rsidRPr="00590838">
        <w:rPr>
          <w:rFonts w:ascii="Times New Roman" w:hAnsi="Times New Roman" w:cs="Times New Roman"/>
          <w:sz w:val="22"/>
          <w:szCs w:val="22"/>
        </w:rPr>
        <w:t>pro rata premium</w:t>
      </w:r>
      <w:r>
        <w:rPr>
          <w:rFonts w:ascii="Times New Roman" w:hAnsi="Times New Roman" w:cs="Times New Roman"/>
          <w:sz w:val="22"/>
          <w:szCs w:val="22"/>
        </w:rPr>
        <w:t>”</w:t>
      </w:r>
      <w:r w:rsidRPr="00590838">
        <w:rPr>
          <w:rFonts w:ascii="Times New Roman" w:hAnsi="Times New Roman" w:cs="Times New Roman"/>
          <w:sz w:val="22"/>
          <w:szCs w:val="22"/>
        </w:rPr>
        <w:t xml:space="preserve"> was calculated using the rating worksheet for each coverage after taking into account all of these factors.</w:t>
      </w:r>
    </w:p>
    <w:p w14:paraId="35EA44BB" w14:textId="77777777" w:rsidR="00434620" w:rsidRPr="0005321A" w:rsidRDefault="00434620" w:rsidP="00C342AD">
      <w:pPr>
        <w:pStyle w:val="EndnoteText"/>
        <w:rPr>
          <w:rFonts w:ascii="Times New Roman" w:hAnsi="Times New Roman" w:cs="Times New Roman"/>
          <w:sz w:val="22"/>
          <w:szCs w:val="22"/>
        </w:rPr>
      </w:pPr>
    </w:p>
  </w:endnote>
  <w:endnote w:id="103">
    <w:p w14:paraId="775B8C0D" w14:textId="77777777" w:rsidR="00434620" w:rsidRPr="00F47786" w:rsidRDefault="00434620" w:rsidP="00C342AD">
      <w:pPr>
        <w:pStyle w:val="EndnoteText"/>
        <w:rPr>
          <w:rFonts w:ascii="Times New Roman" w:hAnsi="Times New Roman" w:cs="Times New Roman"/>
          <w:sz w:val="22"/>
          <w:szCs w:val="22"/>
        </w:rPr>
      </w:pPr>
      <w:r w:rsidRPr="00F47786">
        <w:rPr>
          <w:rStyle w:val="EndnoteReference"/>
          <w:rFonts w:ascii="Times New Roman" w:hAnsi="Times New Roman" w:cs="Times New Roman"/>
          <w:sz w:val="22"/>
          <w:szCs w:val="22"/>
        </w:rPr>
        <w:endnoteRef/>
      </w:r>
      <w:r w:rsidRPr="00F47786">
        <w:rPr>
          <w:rFonts w:ascii="Times New Roman" w:hAnsi="Times New Roman" w:cs="Times New Roman"/>
          <w:sz w:val="22"/>
          <w:szCs w:val="22"/>
        </w:rPr>
        <w:t xml:space="preserve"> </w:t>
      </w:r>
      <w:r w:rsidRPr="00F47786">
        <w:rPr>
          <w:rFonts w:ascii="Times New Roman" w:hAnsi="Times New Roman" w:cs="Times New Roman"/>
          <w:i/>
          <w:sz w:val="22"/>
          <w:szCs w:val="22"/>
        </w:rPr>
        <w:t>Id</w:t>
      </w:r>
      <w:r w:rsidRPr="00F47786">
        <w:rPr>
          <w:rFonts w:ascii="Times New Roman" w:hAnsi="Times New Roman" w:cs="Times New Roman"/>
          <w:sz w:val="22"/>
          <w:szCs w:val="22"/>
        </w:rPr>
        <w:t>.</w:t>
      </w:r>
    </w:p>
    <w:p w14:paraId="0E18D1ED" w14:textId="77777777" w:rsidR="00434620" w:rsidRDefault="00434620" w:rsidP="00C342AD">
      <w:pPr>
        <w:pStyle w:val="EndnoteText"/>
      </w:pPr>
    </w:p>
  </w:endnote>
  <w:endnote w:id="104">
    <w:p w14:paraId="693A26AB" w14:textId="77777777" w:rsidR="00434620" w:rsidRDefault="00434620">
      <w:pPr>
        <w:pStyle w:val="EndnoteText"/>
        <w:rPr>
          <w:rFonts w:ascii="Times New Roman" w:hAnsi="Times New Roman" w:cs="Times New Roman"/>
          <w:sz w:val="22"/>
          <w:szCs w:val="22"/>
        </w:rPr>
      </w:pPr>
      <w:r w:rsidRPr="005256F6">
        <w:rPr>
          <w:rStyle w:val="EndnoteReference"/>
          <w:rFonts w:ascii="Times New Roman" w:hAnsi="Times New Roman" w:cs="Times New Roman"/>
          <w:sz w:val="22"/>
          <w:szCs w:val="22"/>
        </w:rPr>
        <w:endnoteRef/>
      </w:r>
      <w:r w:rsidRPr="005256F6">
        <w:rPr>
          <w:rFonts w:ascii="Times New Roman" w:hAnsi="Times New Roman" w:cs="Times New Roman"/>
          <w:sz w:val="22"/>
          <w:szCs w:val="22"/>
        </w:rPr>
        <w:t xml:space="preserve"> </w:t>
      </w:r>
      <w:r w:rsidRPr="00E14B97">
        <w:rPr>
          <w:rFonts w:ascii="Times New Roman" w:hAnsi="Times New Roman" w:cs="Times New Roman"/>
          <w:i/>
          <w:sz w:val="22"/>
          <w:szCs w:val="22"/>
        </w:rPr>
        <w:t>See</w:t>
      </w:r>
      <w:r w:rsidRPr="005256F6">
        <w:rPr>
          <w:rFonts w:ascii="Times New Roman" w:hAnsi="Times New Roman" w:cs="Times New Roman"/>
          <w:sz w:val="22"/>
          <w:szCs w:val="22"/>
        </w:rPr>
        <w:t xml:space="preserve"> </w:t>
      </w:r>
      <w:r>
        <w:rPr>
          <w:rFonts w:ascii="Times New Roman" w:hAnsi="Times New Roman" w:cs="Times New Roman"/>
          <w:sz w:val="22"/>
          <w:szCs w:val="22"/>
        </w:rPr>
        <w:t xml:space="preserve">Reserve </w:t>
      </w:r>
      <w:r w:rsidRPr="005256F6">
        <w:rPr>
          <w:rFonts w:ascii="Times New Roman" w:hAnsi="Times New Roman" w:cs="Times New Roman"/>
          <w:sz w:val="22"/>
          <w:szCs w:val="22"/>
        </w:rPr>
        <w:t>at page</w:t>
      </w:r>
      <w:r>
        <w:rPr>
          <w:rFonts w:ascii="Times New Roman" w:hAnsi="Times New Roman" w:cs="Times New Roman"/>
          <w:sz w:val="22"/>
          <w:szCs w:val="22"/>
        </w:rPr>
        <w:t>s</w:t>
      </w:r>
      <w:r w:rsidRPr="005256F6">
        <w:rPr>
          <w:rFonts w:ascii="Times New Roman" w:hAnsi="Times New Roman" w:cs="Times New Roman"/>
          <w:sz w:val="22"/>
          <w:szCs w:val="22"/>
        </w:rPr>
        <w:t xml:space="preserve"> 42-43.</w:t>
      </w:r>
    </w:p>
    <w:p w14:paraId="76EA6973" w14:textId="77777777" w:rsidR="00434620" w:rsidRPr="00187456" w:rsidRDefault="00434620">
      <w:pPr>
        <w:pStyle w:val="EndnoteText"/>
        <w:rPr>
          <w:rFonts w:ascii="Times New Roman" w:hAnsi="Times New Roman" w:cs="Times New Roman"/>
          <w:sz w:val="22"/>
          <w:szCs w:val="22"/>
        </w:rPr>
      </w:pPr>
    </w:p>
  </w:endnote>
  <w:endnote w:id="105">
    <w:p w14:paraId="19DC603C" w14:textId="0D3220C6" w:rsidR="00434620" w:rsidRDefault="00434620">
      <w:pPr>
        <w:pStyle w:val="EndnoteText"/>
        <w:rPr>
          <w:rFonts w:ascii="Times New Roman" w:hAnsi="Times New Roman" w:cs="Times New Roman"/>
          <w:sz w:val="22"/>
          <w:szCs w:val="22"/>
        </w:rPr>
      </w:pPr>
      <w:r w:rsidRPr="00187456">
        <w:rPr>
          <w:rStyle w:val="EndnoteReference"/>
          <w:rFonts w:ascii="Times New Roman" w:hAnsi="Times New Roman" w:cs="Times New Roman"/>
          <w:sz w:val="22"/>
          <w:szCs w:val="22"/>
        </w:rPr>
        <w:endnoteRef/>
      </w:r>
      <w:r w:rsidRPr="00187456">
        <w:rPr>
          <w:rFonts w:ascii="Times New Roman" w:hAnsi="Times New Roman" w:cs="Times New Roman"/>
          <w:sz w:val="22"/>
          <w:szCs w:val="22"/>
        </w:rPr>
        <w:t xml:space="preserve"> </w:t>
      </w:r>
      <w:r w:rsidRPr="00E14B97">
        <w:rPr>
          <w:rFonts w:ascii="Times New Roman" w:hAnsi="Times New Roman" w:cs="Times New Roman"/>
          <w:i/>
          <w:sz w:val="22"/>
          <w:szCs w:val="22"/>
        </w:rPr>
        <w:t>See</w:t>
      </w:r>
      <w:r w:rsidRPr="0055575A">
        <w:rPr>
          <w:rFonts w:ascii="Times New Roman" w:hAnsi="Times New Roman" w:cs="Times New Roman"/>
          <w:sz w:val="22"/>
          <w:szCs w:val="22"/>
        </w:rPr>
        <w:t xml:space="preserve"> testimony of Dr. Neil Doherty, Tr. at pages 235-236 and Exhibit 104-P (Expert Report of Dr. Neil Doherty, March 27, 2017), pages 14-15, where Dr. Doherty </w:t>
      </w:r>
      <w:r>
        <w:rPr>
          <w:rFonts w:ascii="Times New Roman" w:hAnsi="Times New Roman" w:cs="Times New Roman"/>
          <w:sz w:val="22"/>
          <w:szCs w:val="22"/>
        </w:rPr>
        <w:t xml:space="preserve">stated </w:t>
      </w:r>
      <w:r w:rsidRPr="0055575A">
        <w:rPr>
          <w:rFonts w:ascii="Times New Roman" w:hAnsi="Times New Roman" w:cs="Times New Roman"/>
          <w:sz w:val="22"/>
          <w:szCs w:val="22"/>
        </w:rPr>
        <w:t xml:space="preserve">as follows: “Under the [Reserve insurance] program, the [insured affiliate] insures part of its insurable exposures with its captive and part with an outside insurer, PoolRe. This breakdown between the captive and PoolRe is interesting and </w:t>
      </w:r>
      <w:r w:rsidRPr="003D3CFC">
        <w:rPr>
          <w:rFonts w:ascii="Times New Roman" w:hAnsi="Times New Roman" w:cs="Times New Roman"/>
          <w:b/>
          <w:sz w:val="22"/>
          <w:szCs w:val="22"/>
        </w:rPr>
        <w:t>reflects a common insurance practice of layering risk</w:t>
      </w:r>
      <w:r w:rsidRPr="0055575A">
        <w:rPr>
          <w:rFonts w:ascii="Times New Roman" w:hAnsi="Times New Roman" w:cs="Times New Roman"/>
          <w:sz w:val="22"/>
          <w:szCs w:val="22"/>
        </w:rPr>
        <w:t>.</w:t>
      </w:r>
      <w:r>
        <w:rPr>
          <w:rFonts w:ascii="Times New Roman" w:hAnsi="Times New Roman" w:cs="Times New Roman"/>
          <w:sz w:val="22"/>
          <w:szCs w:val="22"/>
        </w:rPr>
        <w:t>” (Emphasis added).</w:t>
      </w:r>
    </w:p>
    <w:p w14:paraId="36649039" w14:textId="77777777" w:rsidR="00434620" w:rsidRPr="00187456" w:rsidRDefault="00434620">
      <w:pPr>
        <w:pStyle w:val="EndnoteText"/>
        <w:rPr>
          <w:rFonts w:ascii="Times New Roman" w:hAnsi="Times New Roman" w:cs="Times New Roman"/>
          <w:sz w:val="22"/>
          <w:szCs w:val="22"/>
        </w:rPr>
      </w:pPr>
    </w:p>
  </w:endnote>
  <w:endnote w:id="106">
    <w:p w14:paraId="4AFDBDE9" w14:textId="0BB7B645" w:rsidR="00434620" w:rsidRPr="007A0600" w:rsidRDefault="00434620">
      <w:pPr>
        <w:pStyle w:val="EndnoteText"/>
        <w:rPr>
          <w:rFonts w:ascii="Times New Roman" w:hAnsi="Times New Roman" w:cs="Times New Roman"/>
          <w:sz w:val="22"/>
          <w:szCs w:val="22"/>
        </w:rPr>
      </w:pPr>
      <w:r w:rsidRPr="007A0600">
        <w:rPr>
          <w:rStyle w:val="EndnoteReference"/>
          <w:rFonts w:ascii="Times New Roman" w:hAnsi="Times New Roman" w:cs="Times New Roman"/>
          <w:sz w:val="22"/>
          <w:szCs w:val="22"/>
        </w:rPr>
        <w:endnoteRef/>
      </w:r>
      <w:r w:rsidRPr="007A0600">
        <w:rPr>
          <w:rFonts w:ascii="Times New Roman" w:hAnsi="Times New Roman" w:cs="Times New Roman"/>
          <w:sz w:val="22"/>
          <w:szCs w:val="22"/>
        </w:rPr>
        <w:t xml:space="preserve"> </w:t>
      </w:r>
      <w:r w:rsidRPr="00E14B97">
        <w:rPr>
          <w:rFonts w:ascii="Times New Roman" w:hAnsi="Times New Roman" w:cs="Times New Roman"/>
          <w:i/>
          <w:sz w:val="22"/>
          <w:szCs w:val="22"/>
        </w:rPr>
        <w:t>See</w:t>
      </w:r>
      <w:r w:rsidRPr="00972D00">
        <w:rPr>
          <w:rFonts w:ascii="Times New Roman" w:hAnsi="Times New Roman" w:cs="Times New Roman"/>
          <w:sz w:val="22"/>
          <w:szCs w:val="22"/>
        </w:rPr>
        <w:t xml:space="preserve"> </w:t>
      </w:r>
      <w:r w:rsidRPr="00230831">
        <w:rPr>
          <w:rFonts w:ascii="Times New Roman" w:hAnsi="Times New Roman" w:cs="Times New Roman"/>
          <w:sz w:val="22"/>
          <w:szCs w:val="22"/>
        </w:rPr>
        <w:t xml:space="preserve">Exhibit </w:t>
      </w:r>
      <w:r>
        <w:rPr>
          <w:rFonts w:ascii="Times New Roman" w:hAnsi="Times New Roman" w:cs="Times New Roman"/>
          <w:sz w:val="22"/>
          <w:szCs w:val="22"/>
        </w:rPr>
        <w:t>96-J</w:t>
      </w:r>
      <w:r w:rsidRPr="00230831">
        <w:rPr>
          <w:rFonts w:ascii="Times New Roman" w:hAnsi="Times New Roman" w:cs="Times New Roman"/>
          <w:sz w:val="22"/>
          <w:szCs w:val="22"/>
        </w:rPr>
        <w:t xml:space="preserve"> (</w:t>
      </w:r>
      <w:r>
        <w:rPr>
          <w:rFonts w:ascii="Times New Roman" w:hAnsi="Times New Roman" w:cs="Times New Roman"/>
          <w:sz w:val="22"/>
          <w:szCs w:val="22"/>
        </w:rPr>
        <w:t>Letter from Myron Steves Insurance Solutions to PoolRe Insurance Corp.</w:t>
      </w:r>
      <w:r w:rsidRPr="00230831">
        <w:rPr>
          <w:rFonts w:ascii="Times New Roman" w:hAnsi="Times New Roman" w:cs="Times New Roman"/>
          <w:sz w:val="22"/>
          <w:szCs w:val="22"/>
        </w:rPr>
        <w:t>, Ma</w:t>
      </w:r>
      <w:r>
        <w:rPr>
          <w:rFonts w:ascii="Times New Roman" w:hAnsi="Times New Roman" w:cs="Times New Roman"/>
          <w:sz w:val="22"/>
          <w:szCs w:val="22"/>
        </w:rPr>
        <w:t>y</w:t>
      </w:r>
      <w:r w:rsidRPr="00230831">
        <w:rPr>
          <w:rFonts w:ascii="Times New Roman" w:hAnsi="Times New Roman" w:cs="Times New Roman"/>
          <w:sz w:val="22"/>
          <w:szCs w:val="22"/>
        </w:rPr>
        <w:t xml:space="preserve"> </w:t>
      </w:r>
      <w:r>
        <w:rPr>
          <w:rFonts w:ascii="Times New Roman" w:hAnsi="Times New Roman" w:cs="Times New Roman"/>
          <w:sz w:val="22"/>
          <w:szCs w:val="22"/>
        </w:rPr>
        <w:t>31</w:t>
      </w:r>
      <w:r w:rsidRPr="00230831">
        <w:rPr>
          <w:rFonts w:ascii="Times New Roman" w:hAnsi="Times New Roman" w:cs="Times New Roman"/>
          <w:sz w:val="22"/>
          <w:szCs w:val="22"/>
        </w:rPr>
        <w:t>, 20</w:t>
      </w:r>
      <w:r>
        <w:rPr>
          <w:rFonts w:ascii="Times New Roman" w:hAnsi="Times New Roman" w:cs="Times New Roman"/>
          <w:sz w:val="22"/>
          <w:szCs w:val="22"/>
        </w:rPr>
        <w:t>05, signed by Robert L. Snyder, Director, Risk Consulting</w:t>
      </w:r>
      <w:r w:rsidRPr="00230831">
        <w:rPr>
          <w:rFonts w:ascii="Times New Roman" w:hAnsi="Times New Roman" w:cs="Times New Roman"/>
          <w:sz w:val="22"/>
          <w:szCs w:val="22"/>
        </w:rPr>
        <w:t>)</w:t>
      </w:r>
      <w:r>
        <w:rPr>
          <w:rFonts w:ascii="Times New Roman" w:hAnsi="Times New Roman" w:cs="Times New Roman"/>
          <w:sz w:val="22"/>
          <w:szCs w:val="22"/>
        </w:rPr>
        <w:t xml:space="preserve"> where Mr. Snyder stated: “</w:t>
      </w:r>
      <w:r w:rsidRPr="005240FD">
        <w:rPr>
          <w:rFonts w:ascii="Times New Roman" w:hAnsi="Times New Roman" w:cs="Times New Roman"/>
          <w:sz w:val="22"/>
          <w:szCs w:val="22"/>
        </w:rPr>
        <w:t>The stop loss structure is one alte</w:t>
      </w:r>
      <w:r>
        <w:rPr>
          <w:rFonts w:ascii="Times New Roman" w:hAnsi="Times New Roman" w:cs="Times New Roman"/>
          <w:sz w:val="22"/>
          <w:szCs w:val="22"/>
        </w:rPr>
        <w:t>rn</w:t>
      </w:r>
      <w:r w:rsidRPr="005240FD">
        <w:rPr>
          <w:rFonts w:ascii="Times New Roman" w:hAnsi="Times New Roman" w:cs="Times New Roman"/>
          <w:sz w:val="22"/>
          <w:szCs w:val="22"/>
        </w:rPr>
        <w:t>ative, a reasonable one, in our view, to limiting the liability of the</w:t>
      </w:r>
      <w:r>
        <w:rPr>
          <w:rFonts w:ascii="Times New Roman" w:hAnsi="Times New Roman" w:cs="Times New Roman"/>
          <w:sz w:val="22"/>
          <w:szCs w:val="22"/>
        </w:rPr>
        <w:t xml:space="preserve"> ‘</w:t>
      </w:r>
      <w:r w:rsidRPr="005240FD">
        <w:rPr>
          <w:rFonts w:ascii="Times New Roman" w:hAnsi="Times New Roman" w:cs="Times New Roman"/>
          <w:sz w:val="22"/>
          <w:szCs w:val="22"/>
        </w:rPr>
        <w:t>primary</w:t>
      </w:r>
      <w:r>
        <w:rPr>
          <w:rFonts w:ascii="Times New Roman" w:hAnsi="Times New Roman" w:cs="Times New Roman"/>
          <w:sz w:val="22"/>
          <w:szCs w:val="22"/>
        </w:rPr>
        <w:t>’</w:t>
      </w:r>
      <w:r w:rsidRPr="005240FD">
        <w:rPr>
          <w:rFonts w:ascii="Times New Roman" w:hAnsi="Times New Roman" w:cs="Times New Roman"/>
          <w:sz w:val="22"/>
          <w:szCs w:val="22"/>
        </w:rPr>
        <w:t xml:space="preserve"> insurer, and assuring the insured of a source of funds to pay losses which may be in excess of</w:t>
      </w:r>
      <w:r>
        <w:rPr>
          <w:rFonts w:ascii="Times New Roman" w:hAnsi="Times New Roman" w:cs="Times New Roman"/>
          <w:sz w:val="22"/>
          <w:szCs w:val="22"/>
        </w:rPr>
        <w:t xml:space="preserve"> </w:t>
      </w:r>
      <w:r w:rsidRPr="005240FD">
        <w:rPr>
          <w:rFonts w:ascii="Times New Roman" w:hAnsi="Times New Roman" w:cs="Times New Roman"/>
          <w:sz w:val="22"/>
          <w:szCs w:val="22"/>
        </w:rPr>
        <w:t xml:space="preserve">the amounts the primary insurer desires to retain. </w:t>
      </w:r>
      <w:r w:rsidRPr="007A0600">
        <w:rPr>
          <w:rFonts w:ascii="Times New Roman" w:hAnsi="Times New Roman" w:cs="Times New Roman"/>
          <w:b/>
          <w:sz w:val="22"/>
          <w:szCs w:val="22"/>
        </w:rPr>
        <w:t>Other structures common to the insurance industry can be utilized to achieve a similar result</w:t>
      </w:r>
      <w:r w:rsidRPr="005240FD">
        <w:rPr>
          <w:rFonts w:ascii="Times New Roman" w:hAnsi="Times New Roman" w:cs="Times New Roman"/>
          <w:sz w:val="22"/>
          <w:szCs w:val="22"/>
        </w:rPr>
        <w:t>, such as the purchase of primary insurance from one insurer, and</w:t>
      </w:r>
      <w:r>
        <w:rPr>
          <w:rFonts w:ascii="Times New Roman" w:hAnsi="Times New Roman" w:cs="Times New Roman"/>
          <w:sz w:val="22"/>
          <w:szCs w:val="22"/>
        </w:rPr>
        <w:t xml:space="preserve"> </w:t>
      </w:r>
      <w:r w:rsidRPr="005240FD">
        <w:rPr>
          <w:rFonts w:ascii="Times New Roman" w:hAnsi="Times New Roman" w:cs="Times New Roman"/>
          <w:sz w:val="22"/>
          <w:szCs w:val="22"/>
        </w:rPr>
        <w:t xml:space="preserve">direct excess (or </w:t>
      </w:r>
      <w:r>
        <w:rPr>
          <w:rFonts w:ascii="Times New Roman" w:hAnsi="Times New Roman" w:cs="Times New Roman"/>
          <w:sz w:val="22"/>
          <w:szCs w:val="22"/>
        </w:rPr>
        <w:t>“</w:t>
      </w:r>
      <w:r w:rsidRPr="005240FD">
        <w:rPr>
          <w:rFonts w:ascii="Times New Roman" w:hAnsi="Times New Roman" w:cs="Times New Roman"/>
          <w:sz w:val="22"/>
          <w:szCs w:val="22"/>
        </w:rPr>
        <w:t>'umbrella</w:t>
      </w:r>
      <w:r>
        <w:rPr>
          <w:rFonts w:ascii="Times New Roman" w:hAnsi="Times New Roman" w:cs="Times New Roman"/>
          <w:sz w:val="22"/>
          <w:szCs w:val="22"/>
        </w:rPr>
        <w:t>”</w:t>
      </w:r>
      <w:r w:rsidRPr="005240FD">
        <w:rPr>
          <w:rFonts w:ascii="Times New Roman" w:hAnsi="Times New Roman" w:cs="Times New Roman"/>
          <w:sz w:val="22"/>
          <w:szCs w:val="22"/>
        </w:rPr>
        <w:t xml:space="preserve"> insurance) provided from another insurer on the same coverage terms as the</w:t>
      </w:r>
      <w:r>
        <w:rPr>
          <w:rFonts w:ascii="Times New Roman" w:hAnsi="Times New Roman" w:cs="Times New Roman"/>
          <w:sz w:val="22"/>
          <w:szCs w:val="22"/>
        </w:rPr>
        <w:t xml:space="preserve"> </w:t>
      </w:r>
      <w:r w:rsidRPr="005240FD">
        <w:rPr>
          <w:rFonts w:ascii="Times New Roman" w:hAnsi="Times New Roman" w:cs="Times New Roman"/>
          <w:sz w:val="22"/>
          <w:szCs w:val="22"/>
        </w:rPr>
        <w:t>primary.</w:t>
      </w:r>
      <w:r>
        <w:rPr>
          <w:rFonts w:ascii="Times New Roman" w:hAnsi="Times New Roman" w:cs="Times New Roman"/>
          <w:sz w:val="22"/>
          <w:szCs w:val="22"/>
        </w:rPr>
        <w:t>” (Emphasis added).</w:t>
      </w:r>
    </w:p>
    <w:p w14:paraId="036B805F" w14:textId="77777777" w:rsidR="00434620" w:rsidRPr="007A0600" w:rsidRDefault="00434620">
      <w:pPr>
        <w:pStyle w:val="EndnoteText"/>
        <w:rPr>
          <w:rFonts w:ascii="Times New Roman" w:hAnsi="Times New Roman" w:cs="Times New Roman"/>
          <w:sz w:val="22"/>
          <w:szCs w:val="22"/>
        </w:rPr>
      </w:pPr>
    </w:p>
  </w:endnote>
  <w:endnote w:id="107">
    <w:p w14:paraId="4E285F21" w14:textId="3D813113" w:rsidR="00434620" w:rsidRDefault="00434620" w:rsidP="00CB1441">
      <w:pPr>
        <w:pStyle w:val="EndnoteText"/>
        <w:rPr>
          <w:rFonts w:ascii="Times New Roman" w:hAnsi="Times New Roman" w:cs="Times New Roman"/>
          <w:sz w:val="22"/>
          <w:szCs w:val="22"/>
        </w:rPr>
      </w:pPr>
      <w:r w:rsidRPr="00484C83">
        <w:rPr>
          <w:rStyle w:val="EndnoteReference"/>
          <w:rFonts w:ascii="Times New Roman" w:hAnsi="Times New Roman" w:cs="Times New Roman"/>
          <w:sz w:val="22"/>
          <w:szCs w:val="22"/>
        </w:rPr>
        <w:endnoteRef/>
      </w:r>
      <w:r w:rsidRPr="00484C83">
        <w:rPr>
          <w:rFonts w:ascii="Times New Roman" w:hAnsi="Times New Roman" w:cs="Times New Roman"/>
          <w:sz w:val="22"/>
          <w:szCs w:val="22"/>
        </w:rPr>
        <w:t xml:space="preserve"> </w:t>
      </w:r>
      <w:r w:rsidRPr="00E14B97">
        <w:rPr>
          <w:rFonts w:ascii="Times New Roman" w:hAnsi="Times New Roman" w:cs="Times New Roman"/>
          <w:i/>
          <w:sz w:val="22"/>
          <w:szCs w:val="22"/>
        </w:rPr>
        <w:t>See</w:t>
      </w:r>
      <w:r w:rsidRPr="007A0E77">
        <w:rPr>
          <w:rFonts w:ascii="Times New Roman" w:hAnsi="Times New Roman" w:cs="Times New Roman"/>
          <w:sz w:val="22"/>
          <w:szCs w:val="22"/>
        </w:rPr>
        <w:t xml:space="preserve"> Exhibit 95-J (Letter from actuary Steven Glicksman to Capstone’s Lance McNeel, CPCU</w:t>
      </w:r>
      <w:r>
        <w:rPr>
          <w:rFonts w:ascii="Times New Roman" w:hAnsi="Times New Roman" w:cs="Times New Roman"/>
          <w:sz w:val="22"/>
          <w:szCs w:val="22"/>
        </w:rPr>
        <w:t xml:space="preserve">, </w:t>
      </w:r>
      <w:r w:rsidRPr="007A0E77">
        <w:rPr>
          <w:rFonts w:ascii="Times New Roman" w:hAnsi="Times New Roman" w:cs="Times New Roman"/>
          <w:sz w:val="22"/>
          <w:szCs w:val="22"/>
        </w:rPr>
        <w:t>January 31, 2012 with “Discussion of PoolRe’s Coverage Options”), referenc</w:t>
      </w:r>
      <w:r>
        <w:rPr>
          <w:rFonts w:ascii="Times New Roman" w:hAnsi="Times New Roman" w:cs="Times New Roman"/>
          <w:sz w:val="22"/>
          <w:szCs w:val="22"/>
        </w:rPr>
        <w:t>ing</w:t>
      </w:r>
      <w:r w:rsidRPr="007A0E77">
        <w:rPr>
          <w:rFonts w:ascii="Times New Roman" w:hAnsi="Times New Roman" w:cs="Times New Roman"/>
          <w:sz w:val="22"/>
          <w:szCs w:val="22"/>
        </w:rPr>
        <w:t xml:space="preserve"> a previous letter from Mr. Glicksman </w:t>
      </w:r>
      <w:r>
        <w:rPr>
          <w:rFonts w:ascii="Times New Roman" w:hAnsi="Times New Roman" w:cs="Times New Roman"/>
          <w:sz w:val="22"/>
          <w:szCs w:val="22"/>
        </w:rPr>
        <w:t xml:space="preserve">to Mr. McNeel </w:t>
      </w:r>
      <w:r w:rsidRPr="007A0E77">
        <w:rPr>
          <w:rFonts w:ascii="Times New Roman" w:hAnsi="Times New Roman" w:cs="Times New Roman"/>
          <w:sz w:val="22"/>
          <w:szCs w:val="22"/>
        </w:rPr>
        <w:t>dated October 20, 2009</w:t>
      </w:r>
      <w:r>
        <w:rPr>
          <w:rFonts w:ascii="Times New Roman" w:hAnsi="Times New Roman" w:cs="Times New Roman"/>
          <w:sz w:val="22"/>
          <w:szCs w:val="22"/>
        </w:rPr>
        <w:t xml:space="preserve">.  </w:t>
      </w:r>
      <w:r w:rsidRPr="00E14B97">
        <w:rPr>
          <w:rFonts w:ascii="Times New Roman" w:hAnsi="Times New Roman" w:cs="Times New Roman"/>
          <w:i/>
          <w:sz w:val="22"/>
          <w:szCs w:val="22"/>
        </w:rPr>
        <w:t>See</w:t>
      </w:r>
      <w:r>
        <w:rPr>
          <w:rFonts w:ascii="Times New Roman" w:hAnsi="Times New Roman" w:cs="Times New Roman"/>
          <w:sz w:val="22"/>
          <w:szCs w:val="22"/>
        </w:rPr>
        <w:t xml:space="preserve"> pages 2-3 and “Exhibit -1” to Exhibit 95-J, which reflected the factors considered by actuary Glicksman in calculating the percentage of direct written premiums to be paid to PoolRe by each participating captive.  </w:t>
      </w:r>
      <w:r w:rsidRPr="00E14B97">
        <w:rPr>
          <w:rFonts w:ascii="Times New Roman" w:hAnsi="Times New Roman" w:cs="Times New Roman"/>
          <w:i/>
          <w:sz w:val="22"/>
          <w:szCs w:val="22"/>
        </w:rPr>
        <w:t>See also</w:t>
      </w:r>
      <w:r>
        <w:rPr>
          <w:rFonts w:ascii="Times New Roman" w:hAnsi="Times New Roman" w:cs="Times New Roman"/>
          <w:sz w:val="22"/>
          <w:szCs w:val="22"/>
        </w:rPr>
        <w:t xml:space="preserve"> </w:t>
      </w:r>
      <w:r w:rsidRPr="000D528D">
        <w:rPr>
          <w:rFonts w:ascii="Times New Roman" w:hAnsi="Times New Roman" w:cs="Times New Roman"/>
          <w:sz w:val="22"/>
          <w:szCs w:val="22"/>
        </w:rPr>
        <w:t>Exhibit 96-J (Letter from Myron Steves Insurance Solutions to PoolRe Insurance Corp.,</w:t>
      </w:r>
      <w:r>
        <w:rPr>
          <w:rFonts w:ascii="Times New Roman" w:hAnsi="Times New Roman" w:cs="Times New Roman"/>
          <w:sz w:val="22"/>
          <w:szCs w:val="22"/>
        </w:rPr>
        <w:t xml:space="preserve"> </w:t>
      </w:r>
      <w:r w:rsidRPr="000D528D">
        <w:rPr>
          <w:rFonts w:ascii="Times New Roman" w:hAnsi="Times New Roman" w:cs="Times New Roman"/>
          <w:sz w:val="22"/>
          <w:szCs w:val="22"/>
        </w:rPr>
        <w:t xml:space="preserve">May 31, 2005, </w:t>
      </w:r>
      <w:r>
        <w:rPr>
          <w:rFonts w:ascii="Times New Roman" w:hAnsi="Times New Roman" w:cs="Times New Roman"/>
          <w:sz w:val="22"/>
          <w:szCs w:val="22"/>
        </w:rPr>
        <w:t xml:space="preserve">executed by </w:t>
      </w:r>
      <w:r w:rsidRPr="000D528D">
        <w:rPr>
          <w:rFonts w:ascii="Times New Roman" w:hAnsi="Times New Roman" w:cs="Times New Roman"/>
          <w:sz w:val="22"/>
          <w:szCs w:val="22"/>
        </w:rPr>
        <w:t>Robert L. Snyder, Director, Risk Consulting).  In this letter, Mr. Snyder stated</w:t>
      </w:r>
      <w:r>
        <w:rPr>
          <w:rFonts w:ascii="Times New Roman" w:hAnsi="Times New Roman" w:cs="Times New Roman"/>
          <w:sz w:val="22"/>
          <w:szCs w:val="22"/>
        </w:rPr>
        <w:t xml:space="preserve"> as follows regarding the PoolRe pooling arrangement: </w:t>
      </w:r>
      <w:r w:rsidRPr="000D528D">
        <w:rPr>
          <w:rFonts w:ascii="Times New Roman" w:hAnsi="Times New Roman" w:cs="Times New Roman"/>
          <w:sz w:val="22"/>
          <w:szCs w:val="22"/>
        </w:rPr>
        <w:t>“The stop loss program</w:t>
      </w:r>
      <w:r>
        <w:rPr>
          <w:rFonts w:ascii="Times New Roman" w:hAnsi="Times New Roman" w:cs="Times New Roman"/>
          <w:sz w:val="22"/>
          <w:szCs w:val="22"/>
        </w:rPr>
        <w:t>…</w:t>
      </w:r>
      <w:r w:rsidRPr="000D528D">
        <w:rPr>
          <w:rFonts w:ascii="Times New Roman" w:hAnsi="Times New Roman" w:cs="Times New Roman"/>
          <w:sz w:val="22"/>
          <w:szCs w:val="22"/>
        </w:rPr>
        <w:t xml:space="preserve">is one of several acceptable approaches to limiting the risk retained by a particular insurer. In the PoolRe model, clearly most of the risk is retained by the captive insurer in the first instance, with the stop </w:t>
      </w:r>
      <w:r>
        <w:rPr>
          <w:rFonts w:ascii="Times New Roman" w:hAnsi="Times New Roman" w:cs="Times New Roman"/>
          <w:sz w:val="22"/>
          <w:szCs w:val="22"/>
        </w:rPr>
        <w:t>l</w:t>
      </w:r>
      <w:r w:rsidRPr="000D528D">
        <w:rPr>
          <w:rFonts w:ascii="Times New Roman" w:hAnsi="Times New Roman" w:cs="Times New Roman"/>
          <w:sz w:val="22"/>
          <w:szCs w:val="22"/>
        </w:rPr>
        <w:t>oss coverage applying upon the happening of various triggering events. The 81.5%/18.5% premium allocation is reasonable within this context, recognizing that in our judgment stop loss coverage in general might fairly be priced at anywhere from 2.5% to 30% of written premium.”</w:t>
      </w:r>
    </w:p>
    <w:p w14:paraId="7DD64BAD" w14:textId="77777777" w:rsidR="00434620" w:rsidRPr="00131127" w:rsidRDefault="00434620" w:rsidP="00CB1441">
      <w:pPr>
        <w:pStyle w:val="EndnoteText"/>
        <w:rPr>
          <w:rFonts w:ascii="Times New Roman" w:hAnsi="Times New Roman" w:cs="Times New Roman"/>
          <w:sz w:val="22"/>
          <w:szCs w:val="22"/>
        </w:rPr>
      </w:pPr>
    </w:p>
  </w:endnote>
  <w:endnote w:id="108">
    <w:p w14:paraId="2122321F" w14:textId="6650DB8E" w:rsidR="00434620" w:rsidRDefault="00434620">
      <w:pPr>
        <w:pStyle w:val="EndnoteText"/>
        <w:rPr>
          <w:rFonts w:ascii="Times New Roman" w:hAnsi="Times New Roman" w:cs="Times New Roman"/>
          <w:sz w:val="22"/>
          <w:szCs w:val="22"/>
        </w:rPr>
      </w:pPr>
      <w:r w:rsidRPr="00131127">
        <w:rPr>
          <w:rStyle w:val="EndnoteReference"/>
          <w:rFonts w:ascii="Times New Roman" w:hAnsi="Times New Roman" w:cs="Times New Roman"/>
          <w:sz w:val="22"/>
          <w:szCs w:val="22"/>
        </w:rPr>
        <w:endnoteRef/>
      </w:r>
      <w:r w:rsidRPr="00131127">
        <w:rPr>
          <w:rFonts w:ascii="Times New Roman" w:hAnsi="Times New Roman" w:cs="Times New Roman"/>
          <w:sz w:val="22"/>
          <w:szCs w:val="22"/>
        </w:rPr>
        <w:t xml:space="preserve"> </w:t>
      </w:r>
      <w:r w:rsidRPr="00E14B97">
        <w:rPr>
          <w:rFonts w:ascii="Times New Roman" w:hAnsi="Times New Roman" w:cs="Times New Roman"/>
          <w:i/>
          <w:sz w:val="22"/>
          <w:szCs w:val="22"/>
        </w:rPr>
        <w:t>See</w:t>
      </w:r>
      <w:r w:rsidRPr="00131127">
        <w:rPr>
          <w:rFonts w:ascii="Times New Roman" w:hAnsi="Times New Roman" w:cs="Times New Roman"/>
          <w:sz w:val="22"/>
          <w:szCs w:val="22"/>
        </w:rPr>
        <w:t xml:space="preserve"> testimony of Lance McNeel, Tr</w:t>
      </w:r>
      <w:r>
        <w:rPr>
          <w:rFonts w:ascii="Times New Roman" w:hAnsi="Times New Roman" w:cs="Times New Roman"/>
          <w:sz w:val="22"/>
          <w:szCs w:val="22"/>
        </w:rPr>
        <w:t xml:space="preserve">. </w:t>
      </w:r>
      <w:r w:rsidRPr="00131127">
        <w:rPr>
          <w:rFonts w:ascii="Times New Roman" w:hAnsi="Times New Roman" w:cs="Times New Roman"/>
          <w:sz w:val="22"/>
          <w:szCs w:val="22"/>
        </w:rPr>
        <w:t>at 356-366</w:t>
      </w:r>
      <w:r>
        <w:rPr>
          <w:rFonts w:ascii="Times New Roman" w:hAnsi="Times New Roman" w:cs="Times New Roman"/>
          <w:sz w:val="22"/>
          <w:szCs w:val="22"/>
        </w:rPr>
        <w:t xml:space="preserve">.  </w:t>
      </w:r>
      <w:r w:rsidRPr="00E14B97">
        <w:rPr>
          <w:rFonts w:ascii="Times New Roman" w:hAnsi="Times New Roman" w:cs="Times New Roman"/>
          <w:i/>
          <w:sz w:val="22"/>
          <w:szCs w:val="22"/>
        </w:rPr>
        <w:t>See also</w:t>
      </w:r>
      <w:r w:rsidRPr="0010798C">
        <w:rPr>
          <w:rFonts w:ascii="Times New Roman" w:hAnsi="Times New Roman" w:cs="Times New Roman"/>
          <w:sz w:val="22"/>
          <w:szCs w:val="22"/>
        </w:rPr>
        <w:t xml:space="preserve"> Note 111 infra</w:t>
      </w:r>
      <w:r>
        <w:rPr>
          <w:rFonts w:ascii="Times New Roman" w:hAnsi="Times New Roman" w:cs="Times New Roman"/>
          <w:sz w:val="22"/>
          <w:szCs w:val="22"/>
        </w:rPr>
        <w:t>.</w:t>
      </w:r>
    </w:p>
    <w:p w14:paraId="37E995EB" w14:textId="77777777" w:rsidR="00434620" w:rsidRPr="00131127" w:rsidRDefault="00434620">
      <w:pPr>
        <w:pStyle w:val="EndnoteText"/>
        <w:rPr>
          <w:rFonts w:ascii="Times New Roman" w:hAnsi="Times New Roman" w:cs="Times New Roman"/>
          <w:sz w:val="22"/>
          <w:szCs w:val="22"/>
        </w:rPr>
      </w:pPr>
    </w:p>
  </w:endnote>
  <w:endnote w:id="109">
    <w:p w14:paraId="17293D3A" w14:textId="2F66BDC3" w:rsidR="00434620" w:rsidRPr="004E5A01" w:rsidRDefault="00434620" w:rsidP="007711FD">
      <w:pPr>
        <w:pStyle w:val="EndnoteText"/>
        <w:rPr>
          <w:rFonts w:ascii="Times New Roman" w:hAnsi="Times New Roman" w:cs="Times New Roman"/>
          <w:sz w:val="22"/>
          <w:szCs w:val="22"/>
        </w:rPr>
      </w:pPr>
      <w:r w:rsidRPr="00484C83">
        <w:rPr>
          <w:rStyle w:val="EndnoteReference"/>
          <w:rFonts w:ascii="Times New Roman" w:hAnsi="Times New Roman" w:cs="Times New Roman"/>
          <w:sz w:val="22"/>
          <w:szCs w:val="22"/>
        </w:rPr>
        <w:endnoteRef/>
      </w:r>
      <w:r w:rsidRPr="00484C83">
        <w:rPr>
          <w:rFonts w:ascii="Times New Roman" w:hAnsi="Times New Roman" w:cs="Times New Roman"/>
          <w:sz w:val="22"/>
          <w:szCs w:val="22"/>
        </w:rPr>
        <w:t xml:space="preserve"> </w:t>
      </w:r>
      <w:r w:rsidRPr="00E14B97">
        <w:rPr>
          <w:rFonts w:ascii="Times New Roman" w:hAnsi="Times New Roman" w:cs="Times New Roman"/>
          <w:i/>
          <w:sz w:val="22"/>
          <w:szCs w:val="22"/>
        </w:rPr>
        <w:t>See</w:t>
      </w:r>
      <w:r w:rsidRPr="007A0E77">
        <w:rPr>
          <w:rFonts w:ascii="Times New Roman" w:hAnsi="Times New Roman" w:cs="Times New Roman"/>
          <w:sz w:val="22"/>
          <w:szCs w:val="22"/>
        </w:rPr>
        <w:t xml:space="preserve"> Exhibit 95-J (Letter from actuary Steven Glicksman to Capstone’s Lance McNeel, CPCU</w:t>
      </w:r>
      <w:r>
        <w:rPr>
          <w:rFonts w:ascii="Times New Roman" w:hAnsi="Times New Roman" w:cs="Times New Roman"/>
          <w:sz w:val="22"/>
          <w:szCs w:val="22"/>
        </w:rPr>
        <w:t xml:space="preserve">, </w:t>
      </w:r>
      <w:r w:rsidRPr="007A0E77">
        <w:rPr>
          <w:rFonts w:ascii="Times New Roman" w:hAnsi="Times New Roman" w:cs="Times New Roman"/>
          <w:sz w:val="22"/>
          <w:szCs w:val="22"/>
        </w:rPr>
        <w:t>January 31, 2012 with “Discussion of PoolRe’s Coverage Options”), referenc</w:t>
      </w:r>
      <w:r>
        <w:rPr>
          <w:rFonts w:ascii="Times New Roman" w:hAnsi="Times New Roman" w:cs="Times New Roman"/>
          <w:sz w:val="22"/>
          <w:szCs w:val="22"/>
        </w:rPr>
        <w:t>ing</w:t>
      </w:r>
      <w:r w:rsidRPr="007A0E77">
        <w:rPr>
          <w:rFonts w:ascii="Times New Roman" w:hAnsi="Times New Roman" w:cs="Times New Roman"/>
          <w:sz w:val="22"/>
          <w:szCs w:val="22"/>
        </w:rPr>
        <w:t xml:space="preserve"> a previous letter from Mr. Glicksman </w:t>
      </w:r>
      <w:r>
        <w:rPr>
          <w:rFonts w:ascii="Times New Roman" w:hAnsi="Times New Roman" w:cs="Times New Roman"/>
          <w:sz w:val="22"/>
          <w:szCs w:val="22"/>
        </w:rPr>
        <w:t xml:space="preserve">to Mr. McNeel </w:t>
      </w:r>
      <w:r w:rsidRPr="007A0E77">
        <w:rPr>
          <w:rFonts w:ascii="Times New Roman" w:hAnsi="Times New Roman" w:cs="Times New Roman"/>
          <w:sz w:val="22"/>
          <w:szCs w:val="22"/>
        </w:rPr>
        <w:t>dated October 20, 2009</w:t>
      </w:r>
      <w:r>
        <w:rPr>
          <w:rFonts w:ascii="Times New Roman" w:hAnsi="Times New Roman" w:cs="Times New Roman"/>
          <w:sz w:val="22"/>
          <w:szCs w:val="22"/>
        </w:rPr>
        <w:t xml:space="preserve">.  </w:t>
      </w:r>
      <w:r w:rsidRPr="00E14B97">
        <w:rPr>
          <w:rFonts w:ascii="Times New Roman" w:hAnsi="Times New Roman" w:cs="Times New Roman"/>
          <w:i/>
          <w:sz w:val="22"/>
          <w:szCs w:val="22"/>
        </w:rPr>
        <w:t>See</w:t>
      </w:r>
      <w:r>
        <w:rPr>
          <w:rFonts w:ascii="Times New Roman" w:hAnsi="Times New Roman" w:cs="Times New Roman"/>
          <w:sz w:val="22"/>
          <w:szCs w:val="22"/>
        </w:rPr>
        <w:t xml:space="preserve"> pages 2-3 and “Exhibit -1” to Exhibit 95-J for factors considered by actuary Glicksman in calculating the percentage of direct written premiums to </w:t>
      </w:r>
      <w:r w:rsidRPr="004E5A01">
        <w:rPr>
          <w:rFonts w:ascii="Times New Roman" w:hAnsi="Times New Roman" w:cs="Times New Roman"/>
          <w:sz w:val="22"/>
          <w:szCs w:val="22"/>
        </w:rPr>
        <w:t>be paid to PoolRe by each participating captive.</w:t>
      </w:r>
    </w:p>
    <w:p w14:paraId="241EA048" w14:textId="77777777" w:rsidR="00434620" w:rsidRPr="00CE7D46" w:rsidRDefault="00434620" w:rsidP="007711FD">
      <w:pPr>
        <w:pStyle w:val="EndnoteText"/>
        <w:rPr>
          <w:rFonts w:ascii="Times New Roman" w:hAnsi="Times New Roman" w:cs="Times New Roman"/>
          <w:sz w:val="22"/>
          <w:szCs w:val="22"/>
        </w:rPr>
      </w:pPr>
    </w:p>
  </w:endnote>
  <w:endnote w:id="110">
    <w:p w14:paraId="45F7A533" w14:textId="70EF9CBF" w:rsidR="00434620" w:rsidRDefault="00434620">
      <w:pPr>
        <w:pStyle w:val="EndnoteText"/>
        <w:rPr>
          <w:rFonts w:ascii="Times New Roman" w:hAnsi="Times New Roman" w:cs="Times New Roman"/>
          <w:sz w:val="22"/>
          <w:szCs w:val="22"/>
        </w:rPr>
      </w:pPr>
      <w:r w:rsidRPr="00CE7D46">
        <w:rPr>
          <w:rStyle w:val="EndnoteReference"/>
          <w:rFonts w:ascii="Times New Roman" w:hAnsi="Times New Roman" w:cs="Times New Roman"/>
          <w:sz w:val="22"/>
          <w:szCs w:val="22"/>
        </w:rPr>
        <w:endnoteRef/>
      </w:r>
      <w:r w:rsidRPr="00CE7D46">
        <w:rPr>
          <w:rFonts w:ascii="Times New Roman" w:hAnsi="Times New Roman" w:cs="Times New Roman"/>
          <w:sz w:val="22"/>
          <w:szCs w:val="22"/>
        </w:rPr>
        <w:t xml:space="preserve"> </w:t>
      </w:r>
      <w:r w:rsidRPr="00CE7D46">
        <w:rPr>
          <w:rFonts w:ascii="Times New Roman" w:hAnsi="Times New Roman" w:cs="Times New Roman"/>
          <w:i/>
          <w:sz w:val="22"/>
          <w:szCs w:val="22"/>
        </w:rPr>
        <w:t>Id</w:t>
      </w:r>
      <w:r>
        <w:rPr>
          <w:rFonts w:ascii="Times New Roman" w:hAnsi="Times New Roman" w:cs="Times New Roman"/>
          <w:sz w:val="22"/>
          <w:szCs w:val="22"/>
        </w:rPr>
        <w:t>.</w:t>
      </w:r>
    </w:p>
    <w:p w14:paraId="335D3902" w14:textId="77777777" w:rsidR="00434620" w:rsidRPr="00CE7D46" w:rsidRDefault="00434620">
      <w:pPr>
        <w:pStyle w:val="EndnoteText"/>
        <w:rPr>
          <w:rFonts w:ascii="Times New Roman" w:hAnsi="Times New Roman" w:cs="Times New Roman"/>
          <w:sz w:val="22"/>
          <w:szCs w:val="22"/>
        </w:rPr>
      </w:pPr>
    </w:p>
  </w:endnote>
  <w:endnote w:id="111">
    <w:p w14:paraId="48897476" w14:textId="2BB314C2" w:rsidR="00434620" w:rsidRDefault="00434620" w:rsidP="00456E43">
      <w:pPr>
        <w:pStyle w:val="EndnoteText"/>
        <w:rPr>
          <w:rFonts w:ascii="Times New Roman" w:hAnsi="Times New Roman" w:cs="Times New Roman"/>
          <w:sz w:val="22"/>
          <w:szCs w:val="22"/>
        </w:rPr>
      </w:pPr>
      <w:r w:rsidRPr="00774382">
        <w:rPr>
          <w:rStyle w:val="EndnoteReference"/>
          <w:rFonts w:ascii="Times New Roman" w:hAnsi="Times New Roman" w:cs="Times New Roman"/>
          <w:sz w:val="22"/>
          <w:szCs w:val="22"/>
        </w:rPr>
        <w:endnoteRef/>
      </w:r>
      <w:r w:rsidRPr="00774382">
        <w:rPr>
          <w:rFonts w:ascii="Times New Roman" w:hAnsi="Times New Roman" w:cs="Times New Roman"/>
          <w:sz w:val="22"/>
          <w:szCs w:val="22"/>
        </w:rPr>
        <w:t xml:space="preserve"> </w:t>
      </w:r>
      <w:r w:rsidRPr="00E14B97">
        <w:rPr>
          <w:rFonts w:ascii="Times New Roman" w:hAnsi="Times New Roman" w:cs="Times New Roman"/>
          <w:i/>
          <w:sz w:val="22"/>
          <w:szCs w:val="22"/>
        </w:rPr>
        <w:t>See</w:t>
      </w:r>
      <w:r w:rsidRPr="00774382">
        <w:rPr>
          <w:rFonts w:ascii="Times New Roman" w:hAnsi="Times New Roman" w:cs="Times New Roman"/>
          <w:sz w:val="22"/>
          <w:szCs w:val="22"/>
        </w:rPr>
        <w:t xml:space="preserve"> testimony of Lance McNeel, Tr</w:t>
      </w:r>
      <w:r>
        <w:rPr>
          <w:rFonts w:ascii="Times New Roman" w:hAnsi="Times New Roman" w:cs="Times New Roman"/>
          <w:sz w:val="22"/>
          <w:szCs w:val="22"/>
        </w:rPr>
        <w:t>.</w:t>
      </w:r>
      <w:r w:rsidRPr="00774382">
        <w:rPr>
          <w:rFonts w:ascii="Times New Roman" w:hAnsi="Times New Roman" w:cs="Times New Roman"/>
          <w:sz w:val="22"/>
          <w:szCs w:val="22"/>
        </w:rPr>
        <w:t xml:space="preserve"> at 323-36</w:t>
      </w:r>
      <w:r>
        <w:rPr>
          <w:rFonts w:ascii="Times New Roman" w:hAnsi="Times New Roman" w:cs="Times New Roman"/>
          <w:sz w:val="22"/>
          <w:szCs w:val="22"/>
        </w:rPr>
        <w:t xml:space="preserve">6 on the pricing procedures implemented for all captives (including Reserve) administered by Capstone.  Mr. McNeel testified at page 356 regarding Capstone’s procedures in obtaining individual pricing indications that are unique to each of its administered captives.  </w:t>
      </w:r>
      <w:r w:rsidRPr="00E14B97">
        <w:rPr>
          <w:rFonts w:ascii="Times New Roman" w:hAnsi="Times New Roman" w:cs="Times New Roman"/>
          <w:i/>
          <w:sz w:val="22"/>
          <w:szCs w:val="22"/>
        </w:rPr>
        <w:t>See also</w:t>
      </w:r>
      <w:r>
        <w:rPr>
          <w:rFonts w:ascii="Times New Roman" w:hAnsi="Times New Roman" w:cs="Times New Roman"/>
          <w:sz w:val="22"/>
          <w:szCs w:val="22"/>
        </w:rPr>
        <w:t xml:space="preserve"> Exhibit 109-P (</w:t>
      </w:r>
      <w:r w:rsidRPr="00596B9F">
        <w:rPr>
          <w:rFonts w:ascii="Times New Roman" w:hAnsi="Times New Roman" w:cs="Times New Roman"/>
          <w:sz w:val="22"/>
          <w:szCs w:val="22"/>
        </w:rPr>
        <w:t>Mid-Continent General Agency, Inc. – Indication, Underwriters at Lloyds of London, Surplus Lines Company, Best Rating: A, XV for Reserve Casualty Corp</w:t>
      </w:r>
      <w:r>
        <w:rPr>
          <w:rFonts w:ascii="Times New Roman" w:hAnsi="Times New Roman" w:cs="Times New Roman"/>
          <w:sz w:val="22"/>
          <w:szCs w:val="22"/>
        </w:rPr>
        <w:t>.), Exhibit 110-P (</w:t>
      </w:r>
      <w:r w:rsidRPr="00A36B8D">
        <w:rPr>
          <w:rFonts w:ascii="Times New Roman" w:hAnsi="Times New Roman" w:cs="Times New Roman"/>
          <w:sz w:val="22"/>
          <w:szCs w:val="22"/>
        </w:rPr>
        <w:t>Capstone Associated Services, Ltd – 2010 Policy Rate Analysis Summary</w:t>
      </w:r>
      <w:r>
        <w:rPr>
          <w:rFonts w:ascii="Times New Roman" w:hAnsi="Times New Roman" w:cs="Times New Roman"/>
          <w:sz w:val="22"/>
          <w:szCs w:val="22"/>
        </w:rPr>
        <w:t xml:space="preserve">), Exhibit 111-P (Increase Limit Factors), and Exhibit 112-P (Reserve Casualty Corp. – Rating Worksheet for Peak Mechanical, Inc. for policy years 2008, 2009, and 2010).  Mr. McNeel testified that the premium pricing for each type of coverage that was underwritten by Reserve for coverages provided to Peak Mechanical, as reflected on Exhibit 112-P, took into account multiple individual factors, including Reserve’s premium indications (received from Mid-Continent General Agency, Inc.), the applicable policy limit, the exposure basis (based on either the insured’s revenue or the insured’s number of employees), an increase limit factor, and the relevant policy period (i.e., whether the policy period was a short policy period or a full annual term policy period).  Mr. McNeel testified that a “pro rata premium” was calculated using the rating worksheet for each coverage </w:t>
      </w:r>
      <w:r w:rsidRPr="00DA78E1">
        <w:rPr>
          <w:rFonts w:ascii="Times New Roman" w:hAnsi="Times New Roman" w:cs="Times New Roman"/>
          <w:sz w:val="22"/>
          <w:szCs w:val="22"/>
          <w:u w:val="single"/>
        </w:rPr>
        <w:t>after taking into account all of these factors</w:t>
      </w:r>
      <w:r>
        <w:rPr>
          <w:rFonts w:ascii="Times New Roman" w:hAnsi="Times New Roman" w:cs="Times New Roman"/>
          <w:sz w:val="22"/>
          <w:szCs w:val="22"/>
        </w:rPr>
        <w:t xml:space="preserve">.  </w:t>
      </w:r>
      <w:r w:rsidRPr="00E14B97">
        <w:rPr>
          <w:rFonts w:ascii="Times New Roman" w:hAnsi="Times New Roman" w:cs="Times New Roman"/>
          <w:i/>
          <w:sz w:val="22"/>
          <w:szCs w:val="22"/>
        </w:rPr>
        <w:t>See</w:t>
      </w:r>
      <w:r>
        <w:rPr>
          <w:rFonts w:ascii="Times New Roman" w:hAnsi="Times New Roman" w:cs="Times New Roman"/>
          <w:sz w:val="22"/>
          <w:szCs w:val="22"/>
        </w:rPr>
        <w:t xml:space="preserve"> </w:t>
      </w:r>
      <w:r w:rsidRPr="00774382">
        <w:rPr>
          <w:rFonts w:ascii="Times New Roman" w:hAnsi="Times New Roman" w:cs="Times New Roman"/>
          <w:sz w:val="22"/>
          <w:szCs w:val="22"/>
        </w:rPr>
        <w:t>Tr</w:t>
      </w:r>
      <w:r>
        <w:rPr>
          <w:rFonts w:ascii="Times New Roman" w:hAnsi="Times New Roman" w:cs="Times New Roman"/>
          <w:sz w:val="22"/>
          <w:szCs w:val="22"/>
        </w:rPr>
        <w:t>.</w:t>
      </w:r>
      <w:r w:rsidRPr="00774382">
        <w:rPr>
          <w:rFonts w:ascii="Times New Roman" w:hAnsi="Times New Roman" w:cs="Times New Roman"/>
          <w:sz w:val="22"/>
          <w:szCs w:val="22"/>
        </w:rPr>
        <w:t xml:space="preserve"> at </w:t>
      </w:r>
      <w:r>
        <w:rPr>
          <w:rFonts w:ascii="Times New Roman" w:hAnsi="Times New Roman" w:cs="Times New Roman"/>
          <w:sz w:val="22"/>
          <w:szCs w:val="22"/>
        </w:rPr>
        <w:t>356-366.</w:t>
      </w:r>
    </w:p>
    <w:p w14:paraId="5C45B206" w14:textId="77777777" w:rsidR="00434620" w:rsidRPr="000E2284" w:rsidRDefault="00434620" w:rsidP="00456E43">
      <w:pPr>
        <w:pStyle w:val="EndnoteText"/>
        <w:rPr>
          <w:rFonts w:ascii="Times New Roman" w:hAnsi="Times New Roman" w:cs="Times New Roman"/>
          <w:sz w:val="22"/>
          <w:szCs w:val="22"/>
        </w:rPr>
      </w:pPr>
    </w:p>
  </w:endnote>
  <w:endnote w:id="112">
    <w:p w14:paraId="78CB843E" w14:textId="2376A3AC" w:rsidR="00434620" w:rsidRPr="000E2284" w:rsidRDefault="00434620">
      <w:pPr>
        <w:pStyle w:val="EndnoteText"/>
        <w:rPr>
          <w:rFonts w:ascii="Times New Roman" w:hAnsi="Times New Roman" w:cs="Times New Roman"/>
          <w:sz w:val="22"/>
          <w:szCs w:val="22"/>
        </w:rPr>
      </w:pPr>
      <w:r w:rsidRPr="000E2284">
        <w:rPr>
          <w:rStyle w:val="EndnoteReference"/>
          <w:rFonts w:ascii="Times New Roman" w:hAnsi="Times New Roman" w:cs="Times New Roman"/>
          <w:sz w:val="22"/>
          <w:szCs w:val="22"/>
        </w:rPr>
        <w:endnoteRef/>
      </w:r>
      <w:r w:rsidRPr="000E2284">
        <w:rPr>
          <w:rFonts w:ascii="Times New Roman" w:hAnsi="Times New Roman" w:cs="Times New Roman"/>
          <w:sz w:val="22"/>
          <w:szCs w:val="22"/>
        </w:rPr>
        <w:t xml:space="preserve"> </w:t>
      </w:r>
      <w:r w:rsidRPr="00E14B97">
        <w:rPr>
          <w:rFonts w:ascii="Times New Roman" w:hAnsi="Times New Roman" w:cs="Times New Roman"/>
          <w:i/>
          <w:sz w:val="22"/>
          <w:szCs w:val="22"/>
        </w:rPr>
        <w:t>See</w:t>
      </w:r>
      <w:r>
        <w:rPr>
          <w:rFonts w:ascii="Times New Roman" w:hAnsi="Times New Roman" w:cs="Times New Roman"/>
          <w:sz w:val="22"/>
          <w:szCs w:val="22"/>
        </w:rPr>
        <w:t xml:space="preserve"> Exhibit 16-J (</w:t>
      </w:r>
      <w:r w:rsidRPr="0040449E">
        <w:rPr>
          <w:rFonts w:ascii="Times New Roman" w:hAnsi="Times New Roman" w:cs="Times New Roman"/>
          <w:sz w:val="22"/>
          <w:szCs w:val="22"/>
        </w:rPr>
        <w:t>Captive Insurance Company Feasibility Study for Peak Mechanical &amp; Components, Inc.</w:t>
      </w:r>
      <w:r>
        <w:rPr>
          <w:rFonts w:ascii="Times New Roman" w:hAnsi="Times New Roman" w:cs="Times New Roman"/>
          <w:sz w:val="22"/>
          <w:szCs w:val="22"/>
        </w:rPr>
        <w:t>,</w:t>
      </w:r>
      <w:r w:rsidRPr="006234B2">
        <w:t xml:space="preserve"> </w:t>
      </w:r>
      <w:r w:rsidRPr="006234B2">
        <w:rPr>
          <w:rFonts w:ascii="Times New Roman" w:hAnsi="Times New Roman" w:cs="Times New Roman"/>
          <w:sz w:val="22"/>
          <w:szCs w:val="22"/>
        </w:rPr>
        <w:t>Initial Site Visit: August 13, 2008</w:t>
      </w:r>
      <w:r>
        <w:rPr>
          <w:rFonts w:ascii="Times New Roman" w:hAnsi="Times New Roman" w:cs="Times New Roman"/>
          <w:sz w:val="22"/>
          <w:szCs w:val="22"/>
        </w:rPr>
        <w:t>) and testimony of Lance McNeel, Tr. at 313-322.</w:t>
      </w:r>
    </w:p>
    <w:p w14:paraId="329D263A" w14:textId="77777777" w:rsidR="00434620" w:rsidRPr="000E2284" w:rsidRDefault="00434620">
      <w:pPr>
        <w:pStyle w:val="EndnoteText"/>
        <w:rPr>
          <w:rFonts w:ascii="Times New Roman" w:hAnsi="Times New Roman" w:cs="Times New Roman"/>
          <w:sz w:val="22"/>
          <w:szCs w:val="22"/>
        </w:rPr>
      </w:pPr>
    </w:p>
  </w:endnote>
  <w:endnote w:id="113">
    <w:p w14:paraId="51D04188" w14:textId="77777777" w:rsidR="00434620" w:rsidRPr="002C28DE" w:rsidRDefault="00434620" w:rsidP="009D6A51">
      <w:pPr>
        <w:pStyle w:val="EndnoteText"/>
        <w:rPr>
          <w:rFonts w:ascii="Times New Roman" w:hAnsi="Times New Roman" w:cs="Times New Roman"/>
          <w:sz w:val="22"/>
          <w:szCs w:val="22"/>
        </w:rPr>
      </w:pPr>
      <w:r w:rsidRPr="002C28DE">
        <w:rPr>
          <w:rStyle w:val="EndnoteReference"/>
          <w:rFonts w:ascii="Times New Roman" w:hAnsi="Times New Roman" w:cs="Times New Roman"/>
          <w:sz w:val="22"/>
          <w:szCs w:val="22"/>
        </w:rPr>
        <w:endnoteRef/>
      </w:r>
      <w:r w:rsidRPr="002C28DE">
        <w:rPr>
          <w:rFonts w:ascii="Times New Roman" w:hAnsi="Times New Roman" w:cs="Times New Roman"/>
          <w:sz w:val="22"/>
          <w:szCs w:val="22"/>
        </w:rPr>
        <w:t xml:space="preserve"> </w:t>
      </w:r>
      <w:r w:rsidRPr="00E14B97">
        <w:rPr>
          <w:rFonts w:ascii="Times New Roman" w:hAnsi="Times New Roman" w:cs="Times New Roman"/>
          <w:i/>
          <w:sz w:val="22"/>
          <w:szCs w:val="22"/>
        </w:rPr>
        <w:t>See</w:t>
      </w:r>
      <w:r w:rsidRPr="002C28DE">
        <w:rPr>
          <w:rFonts w:ascii="Times New Roman" w:hAnsi="Times New Roman" w:cs="Times New Roman"/>
          <w:sz w:val="22"/>
          <w:szCs w:val="22"/>
        </w:rPr>
        <w:t xml:space="preserve"> </w:t>
      </w:r>
      <w:r w:rsidRPr="009C4CE7">
        <w:rPr>
          <w:rFonts w:ascii="Times New Roman" w:hAnsi="Times New Roman" w:cs="Times New Roman"/>
          <w:i/>
          <w:sz w:val="22"/>
          <w:szCs w:val="22"/>
        </w:rPr>
        <w:t>Reserve</w:t>
      </w:r>
      <w:r>
        <w:rPr>
          <w:rFonts w:ascii="Times New Roman" w:hAnsi="Times New Roman" w:cs="Times New Roman"/>
          <w:sz w:val="22"/>
          <w:szCs w:val="22"/>
        </w:rPr>
        <w:t xml:space="preserve"> </w:t>
      </w:r>
      <w:r w:rsidRPr="002C28DE">
        <w:rPr>
          <w:rFonts w:ascii="Times New Roman" w:hAnsi="Times New Roman" w:cs="Times New Roman"/>
          <w:sz w:val="22"/>
          <w:szCs w:val="22"/>
        </w:rPr>
        <w:t xml:space="preserve">at page </w:t>
      </w:r>
      <w:r>
        <w:rPr>
          <w:rFonts w:ascii="Times New Roman" w:hAnsi="Times New Roman" w:cs="Times New Roman"/>
          <w:sz w:val="22"/>
          <w:szCs w:val="22"/>
        </w:rPr>
        <w:t>6</w:t>
      </w:r>
      <w:r w:rsidRPr="002C28DE">
        <w:rPr>
          <w:rFonts w:ascii="Times New Roman" w:hAnsi="Times New Roman" w:cs="Times New Roman"/>
          <w:sz w:val="22"/>
          <w:szCs w:val="22"/>
        </w:rPr>
        <w:t>1</w:t>
      </w:r>
      <w:r>
        <w:rPr>
          <w:rFonts w:ascii="Times New Roman" w:hAnsi="Times New Roman" w:cs="Times New Roman"/>
          <w:sz w:val="22"/>
          <w:szCs w:val="22"/>
        </w:rPr>
        <w:t>.</w:t>
      </w:r>
    </w:p>
    <w:p w14:paraId="3D6EDCAB" w14:textId="77777777" w:rsidR="00434620" w:rsidRPr="002B27ED" w:rsidRDefault="00434620" w:rsidP="009D6A51">
      <w:pPr>
        <w:pStyle w:val="EndnoteText"/>
        <w:rPr>
          <w:rFonts w:ascii="Times New Roman" w:hAnsi="Times New Roman" w:cs="Times New Roman"/>
          <w:sz w:val="22"/>
          <w:szCs w:val="22"/>
        </w:rPr>
      </w:pPr>
    </w:p>
  </w:endnote>
  <w:endnote w:id="114">
    <w:p w14:paraId="611452ED" w14:textId="5496562D" w:rsidR="00434620" w:rsidRPr="002B27ED" w:rsidRDefault="00434620">
      <w:pPr>
        <w:pStyle w:val="EndnoteText"/>
        <w:rPr>
          <w:rFonts w:ascii="Times New Roman" w:hAnsi="Times New Roman" w:cs="Times New Roman"/>
          <w:sz w:val="22"/>
          <w:szCs w:val="22"/>
        </w:rPr>
      </w:pPr>
      <w:r w:rsidRPr="002B27ED">
        <w:rPr>
          <w:rStyle w:val="EndnoteReference"/>
          <w:rFonts w:ascii="Times New Roman" w:hAnsi="Times New Roman" w:cs="Times New Roman"/>
          <w:sz w:val="22"/>
          <w:szCs w:val="22"/>
        </w:rPr>
        <w:endnoteRef/>
      </w:r>
      <w:r w:rsidRPr="002B27ED">
        <w:rPr>
          <w:rFonts w:ascii="Times New Roman" w:hAnsi="Times New Roman" w:cs="Times New Roman"/>
          <w:sz w:val="22"/>
          <w:szCs w:val="22"/>
        </w:rPr>
        <w:t xml:space="preserve"> </w:t>
      </w:r>
      <w:r w:rsidRPr="00E14B97">
        <w:rPr>
          <w:rFonts w:ascii="Times New Roman" w:hAnsi="Times New Roman" w:cs="Times New Roman"/>
          <w:i/>
          <w:sz w:val="22"/>
          <w:szCs w:val="22"/>
        </w:rPr>
        <w:t>See</w:t>
      </w:r>
      <w:r w:rsidRPr="00F46A1C">
        <w:rPr>
          <w:rFonts w:ascii="Times New Roman" w:hAnsi="Times New Roman" w:cs="Times New Roman"/>
          <w:sz w:val="22"/>
          <w:szCs w:val="22"/>
        </w:rPr>
        <w:t xml:space="preserve"> Exhibit 95-J </w:t>
      </w:r>
      <w:r>
        <w:rPr>
          <w:rFonts w:ascii="Times New Roman" w:hAnsi="Times New Roman" w:cs="Times New Roman"/>
          <w:sz w:val="22"/>
          <w:szCs w:val="22"/>
        </w:rPr>
        <w:t xml:space="preserve">and Exhibit 96-J and Note 107 infra, discussing the guidance provided to PoolRe both by (a) actuary Stephan Glicksman and (b) </w:t>
      </w:r>
      <w:r w:rsidRPr="00FA4802">
        <w:rPr>
          <w:rFonts w:ascii="Times New Roman" w:hAnsi="Times New Roman" w:cs="Times New Roman"/>
          <w:sz w:val="22"/>
          <w:szCs w:val="22"/>
        </w:rPr>
        <w:t>Myron Steves Insurance Solutions</w:t>
      </w:r>
      <w:r>
        <w:rPr>
          <w:rFonts w:ascii="Times New Roman" w:hAnsi="Times New Roman" w:cs="Times New Roman"/>
          <w:sz w:val="22"/>
          <w:szCs w:val="22"/>
        </w:rPr>
        <w:t>.</w:t>
      </w:r>
    </w:p>
    <w:p w14:paraId="63BE40E3" w14:textId="77777777" w:rsidR="00434620" w:rsidRPr="002B27ED" w:rsidRDefault="00434620">
      <w:pPr>
        <w:pStyle w:val="EndnoteText"/>
        <w:rPr>
          <w:rFonts w:ascii="Times New Roman" w:hAnsi="Times New Roman" w:cs="Times New Roman"/>
          <w:sz w:val="22"/>
          <w:szCs w:val="22"/>
        </w:rPr>
      </w:pPr>
    </w:p>
  </w:endnote>
  <w:endnote w:id="115">
    <w:p w14:paraId="4D2BD6CF" w14:textId="77777777" w:rsidR="00434620" w:rsidRDefault="00434620">
      <w:pPr>
        <w:pStyle w:val="EndnoteText"/>
        <w:rPr>
          <w:rFonts w:ascii="Times New Roman" w:hAnsi="Times New Roman" w:cs="Times New Roman"/>
          <w:sz w:val="22"/>
          <w:szCs w:val="22"/>
        </w:rPr>
      </w:pPr>
      <w:r w:rsidRPr="00384294">
        <w:rPr>
          <w:rStyle w:val="EndnoteReference"/>
          <w:rFonts w:ascii="Times New Roman" w:hAnsi="Times New Roman" w:cs="Times New Roman"/>
          <w:sz w:val="22"/>
          <w:szCs w:val="22"/>
        </w:rPr>
        <w:endnoteRef/>
      </w:r>
      <w:r w:rsidRPr="00384294">
        <w:rPr>
          <w:rFonts w:ascii="Times New Roman" w:hAnsi="Times New Roman" w:cs="Times New Roman"/>
          <w:sz w:val="22"/>
          <w:szCs w:val="22"/>
        </w:rPr>
        <w:t xml:space="preserve"> </w:t>
      </w:r>
      <w:r w:rsidRPr="00E14B97">
        <w:rPr>
          <w:rFonts w:ascii="Times New Roman" w:hAnsi="Times New Roman" w:cs="Times New Roman"/>
          <w:i/>
          <w:sz w:val="22"/>
          <w:szCs w:val="22"/>
        </w:rPr>
        <w:t>See</w:t>
      </w:r>
      <w:r w:rsidRPr="005256F6">
        <w:rPr>
          <w:rFonts w:ascii="Times New Roman" w:hAnsi="Times New Roman" w:cs="Times New Roman"/>
          <w:sz w:val="22"/>
          <w:szCs w:val="22"/>
        </w:rPr>
        <w:t xml:space="preserve"> </w:t>
      </w:r>
      <w:r w:rsidRPr="00656506">
        <w:rPr>
          <w:rFonts w:ascii="Times New Roman" w:hAnsi="Times New Roman" w:cs="Times New Roman"/>
          <w:i/>
          <w:sz w:val="22"/>
          <w:szCs w:val="22"/>
        </w:rPr>
        <w:t>Reserve</w:t>
      </w:r>
      <w:r>
        <w:rPr>
          <w:rFonts w:ascii="Times New Roman" w:hAnsi="Times New Roman" w:cs="Times New Roman"/>
          <w:sz w:val="22"/>
          <w:szCs w:val="22"/>
        </w:rPr>
        <w:t xml:space="preserve"> </w:t>
      </w:r>
      <w:r w:rsidRPr="005256F6">
        <w:rPr>
          <w:rFonts w:ascii="Times New Roman" w:hAnsi="Times New Roman" w:cs="Times New Roman"/>
          <w:sz w:val="22"/>
          <w:szCs w:val="22"/>
        </w:rPr>
        <w:t>at page 4</w:t>
      </w:r>
      <w:r>
        <w:rPr>
          <w:rFonts w:ascii="Times New Roman" w:hAnsi="Times New Roman" w:cs="Times New Roman"/>
          <w:sz w:val="22"/>
          <w:szCs w:val="22"/>
        </w:rPr>
        <w:t>4</w:t>
      </w:r>
      <w:r w:rsidRPr="005256F6">
        <w:rPr>
          <w:rFonts w:ascii="Times New Roman" w:hAnsi="Times New Roman" w:cs="Times New Roman"/>
          <w:sz w:val="22"/>
          <w:szCs w:val="22"/>
        </w:rPr>
        <w:t>.</w:t>
      </w:r>
    </w:p>
    <w:p w14:paraId="25DC9F96" w14:textId="77777777" w:rsidR="00434620" w:rsidRPr="00782882" w:rsidRDefault="00434620">
      <w:pPr>
        <w:pStyle w:val="EndnoteText"/>
        <w:rPr>
          <w:rFonts w:ascii="Times New Roman" w:hAnsi="Times New Roman" w:cs="Times New Roman"/>
          <w:sz w:val="22"/>
          <w:szCs w:val="22"/>
        </w:rPr>
      </w:pPr>
    </w:p>
  </w:endnote>
  <w:endnote w:id="116">
    <w:p w14:paraId="1BE315E9" w14:textId="7C15B5FF" w:rsidR="00434620" w:rsidRPr="00CD6430" w:rsidRDefault="00434620">
      <w:pPr>
        <w:pStyle w:val="EndnoteText"/>
        <w:rPr>
          <w:rFonts w:ascii="Times New Roman" w:hAnsi="Times New Roman" w:cs="Times New Roman"/>
          <w:sz w:val="22"/>
          <w:szCs w:val="22"/>
        </w:rPr>
      </w:pPr>
      <w:r w:rsidRPr="00CD6430">
        <w:rPr>
          <w:rStyle w:val="EndnoteReference"/>
          <w:rFonts w:ascii="Times New Roman" w:hAnsi="Times New Roman" w:cs="Times New Roman"/>
          <w:sz w:val="22"/>
          <w:szCs w:val="22"/>
        </w:rPr>
        <w:endnoteRef/>
      </w:r>
      <w:r w:rsidRPr="00CD6430">
        <w:rPr>
          <w:rFonts w:ascii="Times New Roman" w:hAnsi="Times New Roman" w:cs="Times New Roman"/>
          <w:sz w:val="22"/>
          <w:szCs w:val="22"/>
        </w:rPr>
        <w:t xml:space="preserve"> </w:t>
      </w:r>
      <w:r w:rsidRPr="00E14B97">
        <w:rPr>
          <w:rFonts w:ascii="Times New Roman" w:hAnsi="Times New Roman" w:cs="Times New Roman"/>
          <w:i/>
          <w:sz w:val="22"/>
          <w:szCs w:val="22"/>
        </w:rPr>
        <w:t>See</w:t>
      </w:r>
      <w:r w:rsidRPr="00D7014A">
        <w:rPr>
          <w:rFonts w:ascii="Times New Roman" w:hAnsi="Times New Roman" w:cs="Times New Roman"/>
          <w:sz w:val="22"/>
          <w:szCs w:val="22"/>
        </w:rPr>
        <w:t xml:space="preserve"> testimony of Lance McNeel, Tr</w:t>
      </w:r>
      <w:r>
        <w:rPr>
          <w:rFonts w:ascii="Times New Roman" w:hAnsi="Times New Roman" w:cs="Times New Roman"/>
          <w:sz w:val="22"/>
          <w:szCs w:val="22"/>
        </w:rPr>
        <w:t xml:space="preserve">. </w:t>
      </w:r>
      <w:r w:rsidRPr="00D7014A">
        <w:rPr>
          <w:rFonts w:ascii="Times New Roman" w:hAnsi="Times New Roman" w:cs="Times New Roman"/>
          <w:sz w:val="22"/>
          <w:szCs w:val="22"/>
        </w:rPr>
        <w:t>at 356.  Mr. McNeel testified that, for both Reserve and each other captive insurance company that was managed by Capstone, “it was [his] practice to get a pricing indication from a company like Mid-Continent” that was unique to each such captive.</w:t>
      </w:r>
      <w:r>
        <w:rPr>
          <w:rFonts w:ascii="Times New Roman" w:hAnsi="Times New Roman" w:cs="Times New Roman"/>
          <w:sz w:val="22"/>
          <w:szCs w:val="22"/>
        </w:rPr>
        <w:t>”</w:t>
      </w:r>
    </w:p>
    <w:p w14:paraId="71CC4C01" w14:textId="77777777" w:rsidR="00434620" w:rsidRPr="00010231" w:rsidRDefault="00434620">
      <w:pPr>
        <w:pStyle w:val="EndnoteText"/>
        <w:rPr>
          <w:rFonts w:ascii="Times New Roman" w:hAnsi="Times New Roman" w:cs="Times New Roman"/>
          <w:sz w:val="22"/>
          <w:szCs w:val="22"/>
        </w:rPr>
      </w:pPr>
    </w:p>
  </w:endnote>
  <w:endnote w:id="117">
    <w:p w14:paraId="458CC3B1" w14:textId="77777777" w:rsidR="00434620" w:rsidRDefault="00434620">
      <w:pPr>
        <w:pStyle w:val="EndnoteText"/>
        <w:rPr>
          <w:rFonts w:ascii="Times New Roman" w:hAnsi="Times New Roman" w:cs="Times New Roman"/>
          <w:sz w:val="22"/>
          <w:szCs w:val="22"/>
        </w:rPr>
      </w:pPr>
      <w:r w:rsidRPr="00010231">
        <w:rPr>
          <w:rStyle w:val="EndnoteReference"/>
          <w:rFonts w:ascii="Times New Roman" w:hAnsi="Times New Roman" w:cs="Times New Roman"/>
          <w:sz w:val="22"/>
          <w:szCs w:val="22"/>
        </w:rPr>
        <w:endnoteRef/>
      </w:r>
      <w:r w:rsidRPr="00010231">
        <w:rPr>
          <w:rFonts w:ascii="Times New Roman" w:hAnsi="Times New Roman" w:cs="Times New Roman"/>
          <w:sz w:val="22"/>
          <w:szCs w:val="22"/>
        </w:rPr>
        <w:t xml:space="preserve"> </w:t>
      </w:r>
      <w:r w:rsidRPr="004D723F">
        <w:rPr>
          <w:rFonts w:ascii="Times New Roman" w:hAnsi="Times New Roman" w:cs="Times New Roman"/>
          <w:sz w:val="22"/>
          <w:szCs w:val="22"/>
        </w:rPr>
        <w:t xml:space="preserve">At </w:t>
      </w:r>
      <w:r w:rsidRPr="00656506">
        <w:rPr>
          <w:rFonts w:ascii="Times New Roman" w:hAnsi="Times New Roman" w:cs="Times New Roman"/>
          <w:i/>
          <w:sz w:val="22"/>
          <w:szCs w:val="22"/>
        </w:rPr>
        <w:t>Reserve</w:t>
      </w:r>
      <w:r>
        <w:rPr>
          <w:rFonts w:ascii="Times New Roman" w:hAnsi="Times New Roman" w:cs="Times New Roman"/>
          <w:sz w:val="22"/>
          <w:szCs w:val="22"/>
        </w:rPr>
        <w:t xml:space="preserve"> at </w:t>
      </w:r>
      <w:r w:rsidRPr="004D723F">
        <w:rPr>
          <w:rFonts w:ascii="Times New Roman" w:hAnsi="Times New Roman" w:cs="Times New Roman"/>
          <w:sz w:val="22"/>
          <w:szCs w:val="22"/>
        </w:rPr>
        <w:t>page 57</w:t>
      </w:r>
      <w:r>
        <w:rPr>
          <w:rFonts w:ascii="Times New Roman" w:hAnsi="Times New Roman" w:cs="Times New Roman"/>
          <w:sz w:val="22"/>
          <w:szCs w:val="22"/>
        </w:rPr>
        <w:t xml:space="preserve">, </w:t>
      </w:r>
      <w:r w:rsidRPr="000B7A03">
        <w:rPr>
          <w:rFonts w:ascii="Times New Roman" w:hAnsi="Times New Roman" w:cs="Times New Roman"/>
          <w:b/>
          <w:sz w:val="22"/>
          <w:szCs w:val="22"/>
        </w:rPr>
        <w:t>the Court</w:t>
      </w:r>
      <w:r>
        <w:rPr>
          <w:rFonts w:ascii="Times New Roman" w:hAnsi="Times New Roman" w:cs="Times New Roman"/>
          <w:sz w:val="22"/>
          <w:szCs w:val="22"/>
        </w:rPr>
        <w:t xml:space="preserve"> </w:t>
      </w:r>
      <w:r w:rsidRPr="000B7A03">
        <w:rPr>
          <w:rFonts w:ascii="Times New Roman" w:hAnsi="Times New Roman" w:cs="Times New Roman"/>
          <w:b/>
          <w:sz w:val="22"/>
          <w:szCs w:val="22"/>
        </w:rPr>
        <w:t>erroneously concluded that a past loss history must be shown by Reserve</w:t>
      </w:r>
      <w:r>
        <w:rPr>
          <w:rFonts w:ascii="Times New Roman" w:hAnsi="Times New Roman" w:cs="Times New Roman"/>
          <w:sz w:val="22"/>
          <w:szCs w:val="22"/>
        </w:rPr>
        <w:t xml:space="preserve"> before it would have the ability to underwrite insurance policies to insure the Peak insureds, stating as follows</w:t>
      </w:r>
      <w:r w:rsidRPr="004D723F">
        <w:rPr>
          <w:rFonts w:ascii="Times New Roman" w:hAnsi="Times New Roman" w:cs="Times New Roman"/>
          <w:sz w:val="22"/>
          <w:szCs w:val="22"/>
        </w:rPr>
        <w:t xml:space="preserve">: “Reserve contends that Peak was on a Superfund site and could have been exposed to pollution liability, for which no third-party coverage [could be purchased in the marketplace]. Peak itself did not engage in mining practices that spread pollutants, and it already had systems in place to control the fluid runoff when it cleaned equipment used in polluted mines. In 2008 Peak had operated in Osburn continuously for over 10 years. </w:t>
      </w:r>
      <w:r w:rsidRPr="00763DF8">
        <w:rPr>
          <w:rFonts w:ascii="Times New Roman" w:hAnsi="Times New Roman" w:cs="Times New Roman"/>
          <w:b/>
          <w:sz w:val="22"/>
          <w:szCs w:val="22"/>
        </w:rPr>
        <w:t>Reserve provided no evidence that Peak had ever incurred costs during that time for excess pollution liability</w:t>
      </w:r>
      <w:r w:rsidRPr="004D723F">
        <w:rPr>
          <w:rFonts w:ascii="Times New Roman" w:hAnsi="Times New Roman" w:cs="Times New Roman"/>
          <w:sz w:val="22"/>
          <w:szCs w:val="22"/>
        </w:rPr>
        <w:t>.”</w:t>
      </w:r>
      <w:r>
        <w:rPr>
          <w:rFonts w:ascii="Times New Roman" w:hAnsi="Times New Roman" w:cs="Times New Roman"/>
          <w:sz w:val="22"/>
          <w:szCs w:val="22"/>
        </w:rPr>
        <w:t xml:space="preserve"> (Emphasis added).</w:t>
      </w:r>
    </w:p>
    <w:p w14:paraId="443C248F" w14:textId="77777777" w:rsidR="00434620" w:rsidRPr="00010231" w:rsidRDefault="00434620">
      <w:pPr>
        <w:pStyle w:val="EndnoteText"/>
        <w:rPr>
          <w:rFonts w:ascii="Times New Roman" w:hAnsi="Times New Roman" w:cs="Times New Roman"/>
          <w:sz w:val="22"/>
          <w:szCs w:val="22"/>
        </w:rPr>
      </w:pPr>
    </w:p>
  </w:endnote>
  <w:endnote w:id="118">
    <w:p w14:paraId="525351D2" w14:textId="77777777" w:rsidR="00434620" w:rsidRDefault="00434620" w:rsidP="007B534C">
      <w:pPr>
        <w:pStyle w:val="EndnoteText"/>
        <w:rPr>
          <w:rFonts w:ascii="Times New Roman" w:hAnsi="Times New Roman" w:cs="Times New Roman"/>
          <w:sz w:val="22"/>
          <w:szCs w:val="22"/>
        </w:rPr>
      </w:pPr>
      <w:r w:rsidRPr="00660EDD">
        <w:rPr>
          <w:rStyle w:val="EndnoteReference"/>
          <w:rFonts w:ascii="Times New Roman" w:hAnsi="Times New Roman" w:cs="Times New Roman"/>
          <w:sz w:val="22"/>
          <w:szCs w:val="22"/>
        </w:rPr>
        <w:endnoteRef/>
      </w:r>
      <w:r w:rsidRPr="00660EDD">
        <w:rPr>
          <w:rFonts w:ascii="Times New Roman" w:hAnsi="Times New Roman" w:cs="Times New Roman"/>
          <w:sz w:val="22"/>
          <w:szCs w:val="22"/>
        </w:rPr>
        <w:t xml:space="preserve"> </w:t>
      </w:r>
      <w:r w:rsidRPr="00E14B97">
        <w:rPr>
          <w:rFonts w:ascii="Times New Roman" w:hAnsi="Times New Roman" w:cs="Times New Roman"/>
          <w:i/>
          <w:sz w:val="22"/>
          <w:szCs w:val="22"/>
        </w:rPr>
        <w:t>See</w:t>
      </w:r>
      <w:r w:rsidRPr="00790F14">
        <w:rPr>
          <w:rFonts w:ascii="Times New Roman" w:hAnsi="Times New Roman" w:cs="Times New Roman"/>
          <w:sz w:val="22"/>
          <w:szCs w:val="22"/>
        </w:rPr>
        <w:t xml:space="preserve"> </w:t>
      </w:r>
      <w:r w:rsidRPr="00790F14">
        <w:rPr>
          <w:rFonts w:ascii="Times New Roman" w:hAnsi="Times New Roman" w:cs="Times New Roman"/>
          <w:i/>
          <w:sz w:val="22"/>
          <w:szCs w:val="22"/>
        </w:rPr>
        <w:t>Commissioner of Internal Revenue v. Treganowan</w:t>
      </w:r>
      <w:r w:rsidRPr="00790F14">
        <w:rPr>
          <w:rFonts w:ascii="Times New Roman" w:hAnsi="Times New Roman" w:cs="Times New Roman"/>
          <w:sz w:val="22"/>
          <w:szCs w:val="22"/>
        </w:rPr>
        <w:t>, 183 F.2d 288, 290-291 (2d Cir. 1950)</w:t>
      </w:r>
      <w:r>
        <w:rPr>
          <w:rFonts w:ascii="Times New Roman" w:hAnsi="Times New Roman" w:cs="Times New Roman"/>
          <w:sz w:val="22"/>
          <w:szCs w:val="22"/>
        </w:rPr>
        <w:t xml:space="preserve">, where the court stated as follows: </w:t>
      </w:r>
      <w:r w:rsidRPr="00790F14">
        <w:rPr>
          <w:rFonts w:ascii="Times New Roman" w:hAnsi="Times New Roman" w:cs="Times New Roman"/>
          <w:sz w:val="22"/>
          <w:szCs w:val="22"/>
        </w:rPr>
        <w:t>“From an insurance standpoint there is no risk unless there is uncertainty or, to use a better term, fortuitousness. It may be uncertain whether the risk will materialize in any particular case. Even death may be considered fortuitous, because the time of its occurrence is beyond control.”</w:t>
      </w:r>
      <w:r>
        <w:rPr>
          <w:rFonts w:ascii="Times New Roman" w:hAnsi="Times New Roman" w:cs="Times New Roman"/>
          <w:sz w:val="22"/>
          <w:szCs w:val="22"/>
        </w:rPr>
        <w:t xml:space="preserve">  </w:t>
      </w:r>
      <w:r w:rsidRPr="00E14B97">
        <w:rPr>
          <w:rFonts w:ascii="Times New Roman" w:hAnsi="Times New Roman" w:cs="Times New Roman"/>
          <w:i/>
          <w:sz w:val="22"/>
          <w:szCs w:val="22"/>
        </w:rPr>
        <w:t>See also</w:t>
      </w:r>
      <w:r>
        <w:rPr>
          <w:rFonts w:ascii="Times New Roman" w:hAnsi="Times New Roman" w:cs="Times New Roman"/>
          <w:sz w:val="22"/>
          <w:szCs w:val="22"/>
        </w:rPr>
        <w:t xml:space="preserve"> </w:t>
      </w:r>
      <w:r w:rsidRPr="00037FA6">
        <w:rPr>
          <w:rFonts w:ascii="Times New Roman" w:hAnsi="Times New Roman" w:cs="Times New Roman"/>
          <w:i/>
          <w:sz w:val="22"/>
          <w:szCs w:val="22"/>
        </w:rPr>
        <w:t>R.V.I. Guaranty Co. v. Commissioner</w:t>
      </w:r>
      <w:r w:rsidRPr="00037FA6">
        <w:rPr>
          <w:rFonts w:ascii="Times New Roman" w:hAnsi="Times New Roman" w:cs="Times New Roman"/>
          <w:sz w:val="22"/>
          <w:szCs w:val="22"/>
        </w:rPr>
        <w:t>, 145 T.C. 209</w:t>
      </w:r>
      <w:r>
        <w:rPr>
          <w:rFonts w:ascii="Times New Roman" w:hAnsi="Times New Roman" w:cs="Times New Roman"/>
          <w:sz w:val="22"/>
          <w:szCs w:val="22"/>
        </w:rPr>
        <w:t>, 222</w:t>
      </w:r>
      <w:r w:rsidRPr="00037FA6">
        <w:rPr>
          <w:rFonts w:ascii="Times New Roman" w:hAnsi="Times New Roman" w:cs="Times New Roman"/>
          <w:sz w:val="22"/>
          <w:szCs w:val="22"/>
        </w:rPr>
        <w:t xml:space="preserve"> (2015)</w:t>
      </w:r>
      <w:r>
        <w:rPr>
          <w:rFonts w:ascii="Times New Roman" w:hAnsi="Times New Roman" w:cs="Times New Roman"/>
          <w:sz w:val="22"/>
          <w:szCs w:val="22"/>
        </w:rPr>
        <w:t>, where the Tax Court held that c</w:t>
      </w:r>
      <w:r w:rsidRPr="00037FA6">
        <w:rPr>
          <w:rFonts w:ascii="Times New Roman" w:hAnsi="Times New Roman" w:cs="Times New Roman"/>
          <w:sz w:val="22"/>
          <w:szCs w:val="22"/>
        </w:rPr>
        <w:t>ontracts</w:t>
      </w:r>
      <w:r>
        <w:rPr>
          <w:rFonts w:ascii="Times New Roman" w:hAnsi="Times New Roman" w:cs="Times New Roman"/>
          <w:sz w:val="22"/>
          <w:szCs w:val="22"/>
        </w:rPr>
        <w:t xml:space="preserve"> issued by R.V.I. Guaranty Co. (RVI) that </w:t>
      </w:r>
      <w:r w:rsidRPr="00037FA6">
        <w:rPr>
          <w:rFonts w:ascii="Times New Roman" w:hAnsi="Times New Roman" w:cs="Times New Roman"/>
          <w:sz w:val="22"/>
          <w:szCs w:val="22"/>
        </w:rPr>
        <w:t>insur</w:t>
      </w:r>
      <w:r>
        <w:rPr>
          <w:rFonts w:ascii="Times New Roman" w:hAnsi="Times New Roman" w:cs="Times New Roman"/>
          <w:sz w:val="22"/>
          <w:szCs w:val="22"/>
        </w:rPr>
        <w:t>ed</w:t>
      </w:r>
      <w:r w:rsidRPr="00037FA6">
        <w:rPr>
          <w:rFonts w:ascii="Times New Roman" w:hAnsi="Times New Roman" w:cs="Times New Roman"/>
          <w:sz w:val="22"/>
          <w:szCs w:val="22"/>
        </w:rPr>
        <w:t xml:space="preserve"> against the risk that the</w:t>
      </w:r>
      <w:r>
        <w:rPr>
          <w:rFonts w:ascii="Times New Roman" w:hAnsi="Times New Roman" w:cs="Times New Roman"/>
          <w:sz w:val="22"/>
          <w:szCs w:val="22"/>
        </w:rPr>
        <w:t xml:space="preserve"> </w:t>
      </w:r>
      <w:r w:rsidRPr="00037FA6">
        <w:rPr>
          <w:rFonts w:ascii="Times New Roman" w:hAnsi="Times New Roman" w:cs="Times New Roman"/>
          <w:sz w:val="22"/>
          <w:szCs w:val="22"/>
        </w:rPr>
        <w:t>actual value of an asset upon termination of a lease would be</w:t>
      </w:r>
      <w:r>
        <w:rPr>
          <w:rFonts w:ascii="Times New Roman" w:hAnsi="Times New Roman" w:cs="Times New Roman"/>
          <w:sz w:val="22"/>
          <w:szCs w:val="22"/>
        </w:rPr>
        <w:t xml:space="preserve"> </w:t>
      </w:r>
      <w:r w:rsidRPr="00037FA6">
        <w:rPr>
          <w:rFonts w:ascii="Times New Roman" w:hAnsi="Times New Roman" w:cs="Times New Roman"/>
          <w:sz w:val="22"/>
          <w:szCs w:val="22"/>
        </w:rPr>
        <w:t>significantly lower than the expected value are contracts of</w:t>
      </w:r>
      <w:r>
        <w:rPr>
          <w:rFonts w:ascii="Times New Roman" w:hAnsi="Times New Roman" w:cs="Times New Roman"/>
          <w:sz w:val="22"/>
          <w:szCs w:val="22"/>
        </w:rPr>
        <w:t xml:space="preserve"> </w:t>
      </w:r>
      <w:r w:rsidRPr="00037FA6">
        <w:rPr>
          <w:rFonts w:ascii="Times New Roman" w:hAnsi="Times New Roman" w:cs="Times New Roman"/>
          <w:sz w:val="22"/>
          <w:szCs w:val="22"/>
        </w:rPr>
        <w:t>“insurance”</w:t>
      </w:r>
      <w:r>
        <w:rPr>
          <w:rFonts w:ascii="Times New Roman" w:hAnsi="Times New Roman" w:cs="Times New Roman"/>
          <w:sz w:val="22"/>
          <w:szCs w:val="22"/>
        </w:rPr>
        <w:t xml:space="preserve"> since </w:t>
      </w:r>
      <w:r w:rsidRPr="00D73FC4">
        <w:rPr>
          <w:rFonts w:ascii="Times New Roman" w:hAnsi="Times New Roman" w:cs="Times New Roman"/>
          <w:sz w:val="22"/>
          <w:szCs w:val="22"/>
        </w:rPr>
        <w:t>losses under RVI</w:t>
      </w:r>
      <w:r>
        <w:rPr>
          <w:rFonts w:ascii="Times New Roman" w:hAnsi="Times New Roman" w:cs="Times New Roman"/>
          <w:sz w:val="22"/>
          <w:szCs w:val="22"/>
        </w:rPr>
        <w:t>’s</w:t>
      </w:r>
      <w:r w:rsidRPr="00D73FC4">
        <w:rPr>
          <w:rFonts w:ascii="Times New Roman" w:hAnsi="Times New Roman" w:cs="Times New Roman"/>
          <w:sz w:val="22"/>
          <w:szCs w:val="22"/>
        </w:rPr>
        <w:t xml:space="preserve"> policies </w:t>
      </w:r>
      <w:r w:rsidRPr="0068730E">
        <w:rPr>
          <w:rFonts w:ascii="Times New Roman" w:hAnsi="Times New Roman" w:cs="Times New Roman"/>
          <w:sz w:val="22"/>
          <w:szCs w:val="22"/>
          <w:u w:val="single"/>
        </w:rPr>
        <w:t>are caused by fortuitous events outside of its control</w:t>
      </w:r>
      <w:r w:rsidRPr="00D73FC4">
        <w:rPr>
          <w:rFonts w:ascii="Times New Roman" w:hAnsi="Times New Roman" w:cs="Times New Roman"/>
          <w:sz w:val="22"/>
          <w:szCs w:val="22"/>
        </w:rPr>
        <w:t>.</w:t>
      </w:r>
      <w:r>
        <w:rPr>
          <w:rFonts w:ascii="Times New Roman" w:hAnsi="Times New Roman" w:cs="Times New Roman"/>
          <w:sz w:val="22"/>
          <w:szCs w:val="22"/>
        </w:rPr>
        <w:t xml:space="preserve">” </w:t>
      </w:r>
      <w:bookmarkStart w:id="37" w:name="_Hlk531282272"/>
      <w:r>
        <w:rPr>
          <w:rFonts w:ascii="Times New Roman" w:hAnsi="Times New Roman" w:cs="Times New Roman"/>
          <w:sz w:val="22"/>
          <w:szCs w:val="22"/>
        </w:rPr>
        <w:t>(Emphasis added).</w:t>
      </w:r>
    </w:p>
    <w:bookmarkEnd w:id="37"/>
    <w:p w14:paraId="6176D741" w14:textId="77777777" w:rsidR="00434620" w:rsidRPr="00CE0DAE" w:rsidRDefault="00434620" w:rsidP="007B534C">
      <w:pPr>
        <w:pStyle w:val="EndnoteText"/>
        <w:rPr>
          <w:rFonts w:ascii="Times New Roman" w:hAnsi="Times New Roman" w:cs="Times New Roman"/>
          <w:sz w:val="22"/>
          <w:szCs w:val="22"/>
        </w:rPr>
      </w:pPr>
    </w:p>
  </w:endnote>
  <w:endnote w:id="119">
    <w:p w14:paraId="272CBD05" w14:textId="77777777" w:rsidR="00434620" w:rsidRDefault="00434620" w:rsidP="00EA5528">
      <w:pPr>
        <w:pStyle w:val="EndnoteText"/>
        <w:rPr>
          <w:rFonts w:ascii="Times New Roman" w:hAnsi="Times New Roman" w:cs="Times New Roman"/>
          <w:sz w:val="22"/>
          <w:szCs w:val="22"/>
        </w:rPr>
      </w:pPr>
      <w:r w:rsidRPr="00782882">
        <w:rPr>
          <w:rStyle w:val="EndnoteReference"/>
          <w:rFonts w:ascii="Times New Roman" w:hAnsi="Times New Roman" w:cs="Times New Roman"/>
          <w:sz w:val="22"/>
          <w:szCs w:val="22"/>
        </w:rPr>
        <w:endnoteRef/>
      </w:r>
      <w:r>
        <w:t xml:space="preserve"> </w:t>
      </w:r>
      <w:r w:rsidRPr="00E14B97">
        <w:rPr>
          <w:rFonts w:ascii="Times New Roman" w:hAnsi="Times New Roman" w:cs="Times New Roman"/>
          <w:i/>
          <w:sz w:val="22"/>
          <w:szCs w:val="22"/>
        </w:rPr>
        <w:t>See</w:t>
      </w:r>
      <w:r w:rsidRPr="005256F6">
        <w:rPr>
          <w:rFonts w:ascii="Times New Roman" w:hAnsi="Times New Roman" w:cs="Times New Roman"/>
          <w:sz w:val="22"/>
          <w:szCs w:val="22"/>
        </w:rPr>
        <w:t xml:space="preserve"> </w:t>
      </w:r>
      <w:r w:rsidRPr="009C4CE7">
        <w:rPr>
          <w:rFonts w:ascii="Times New Roman" w:hAnsi="Times New Roman" w:cs="Times New Roman"/>
          <w:i/>
          <w:sz w:val="22"/>
          <w:szCs w:val="22"/>
        </w:rPr>
        <w:t>Reserve</w:t>
      </w:r>
      <w:r>
        <w:rPr>
          <w:rFonts w:ascii="Times New Roman" w:hAnsi="Times New Roman" w:cs="Times New Roman"/>
          <w:sz w:val="22"/>
          <w:szCs w:val="22"/>
        </w:rPr>
        <w:t xml:space="preserve"> </w:t>
      </w:r>
      <w:r w:rsidRPr="005256F6">
        <w:rPr>
          <w:rFonts w:ascii="Times New Roman" w:hAnsi="Times New Roman" w:cs="Times New Roman"/>
          <w:sz w:val="22"/>
          <w:szCs w:val="22"/>
        </w:rPr>
        <w:t>at page</w:t>
      </w:r>
      <w:r>
        <w:rPr>
          <w:rFonts w:ascii="Times New Roman" w:hAnsi="Times New Roman" w:cs="Times New Roman"/>
          <w:sz w:val="22"/>
          <w:szCs w:val="22"/>
        </w:rPr>
        <w:t>s</w:t>
      </w:r>
      <w:r w:rsidRPr="005256F6">
        <w:rPr>
          <w:rFonts w:ascii="Times New Roman" w:hAnsi="Times New Roman" w:cs="Times New Roman"/>
          <w:sz w:val="22"/>
          <w:szCs w:val="22"/>
        </w:rPr>
        <w:t xml:space="preserve"> 4</w:t>
      </w:r>
      <w:r>
        <w:rPr>
          <w:rFonts w:ascii="Times New Roman" w:hAnsi="Times New Roman" w:cs="Times New Roman"/>
          <w:sz w:val="22"/>
          <w:szCs w:val="22"/>
        </w:rPr>
        <w:t>4-45</w:t>
      </w:r>
      <w:r w:rsidRPr="005256F6">
        <w:rPr>
          <w:rFonts w:ascii="Times New Roman" w:hAnsi="Times New Roman" w:cs="Times New Roman"/>
          <w:sz w:val="22"/>
          <w:szCs w:val="22"/>
        </w:rPr>
        <w:t>.</w:t>
      </w:r>
    </w:p>
    <w:p w14:paraId="7A5C2B93" w14:textId="77777777" w:rsidR="00434620" w:rsidRPr="00871559" w:rsidRDefault="00434620" w:rsidP="00EA5528">
      <w:pPr>
        <w:pStyle w:val="EndnoteText"/>
        <w:rPr>
          <w:rFonts w:ascii="Times New Roman" w:hAnsi="Times New Roman" w:cs="Times New Roman"/>
          <w:sz w:val="22"/>
          <w:szCs w:val="22"/>
        </w:rPr>
      </w:pPr>
    </w:p>
  </w:endnote>
  <w:endnote w:id="120">
    <w:p w14:paraId="3D00A089" w14:textId="0C3F2DFC" w:rsidR="00434620" w:rsidRPr="00871559" w:rsidRDefault="00434620">
      <w:pPr>
        <w:pStyle w:val="EndnoteText"/>
        <w:rPr>
          <w:rFonts w:ascii="Times New Roman" w:hAnsi="Times New Roman" w:cs="Times New Roman"/>
          <w:sz w:val="22"/>
          <w:szCs w:val="22"/>
        </w:rPr>
      </w:pPr>
      <w:r w:rsidRPr="00871559">
        <w:rPr>
          <w:rStyle w:val="EndnoteReference"/>
          <w:rFonts w:ascii="Times New Roman" w:hAnsi="Times New Roman" w:cs="Times New Roman"/>
          <w:sz w:val="22"/>
          <w:szCs w:val="22"/>
        </w:rPr>
        <w:endnoteRef/>
      </w:r>
      <w:r w:rsidRPr="00871559">
        <w:rPr>
          <w:rFonts w:ascii="Times New Roman" w:hAnsi="Times New Roman" w:cs="Times New Roman"/>
          <w:sz w:val="22"/>
          <w:szCs w:val="22"/>
        </w:rPr>
        <w:t xml:space="preserve"> </w:t>
      </w:r>
      <w:r w:rsidRPr="00E14B97">
        <w:rPr>
          <w:rFonts w:ascii="Times New Roman" w:hAnsi="Times New Roman" w:cs="Times New Roman"/>
          <w:i/>
          <w:sz w:val="22"/>
          <w:szCs w:val="22"/>
        </w:rPr>
        <w:t>See</w:t>
      </w:r>
      <w:r>
        <w:rPr>
          <w:rFonts w:ascii="Times New Roman" w:hAnsi="Times New Roman" w:cs="Times New Roman"/>
          <w:sz w:val="22"/>
          <w:szCs w:val="22"/>
        </w:rPr>
        <w:t xml:space="preserve"> Note 68 supra.  </w:t>
      </w:r>
      <w:r w:rsidRPr="00871559">
        <w:rPr>
          <w:rFonts w:ascii="Times New Roman" w:hAnsi="Times New Roman" w:cs="Times New Roman"/>
          <w:sz w:val="22"/>
          <w:szCs w:val="22"/>
        </w:rPr>
        <w:t>Two different witnesses testified to the fact that PoolRe was an insurance company licensed by a territory of the United Kingdom during all years at issue, and their testimony was unchallenged</w:t>
      </w:r>
      <w:r>
        <w:rPr>
          <w:rFonts w:ascii="Times New Roman" w:hAnsi="Times New Roman" w:cs="Times New Roman"/>
          <w:sz w:val="22"/>
          <w:szCs w:val="22"/>
        </w:rPr>
        <w:t>.</w:t>
      </w:r>
    </w:p>
    <w:p w14:paraId="5C1B849B" w14:textId="77777777" w:rsidR="00434620" w:rsidRPr="00871559" w:rsidRDefault="00434620">
      <w:pPr>
        <w:pStyle w:val="EndnoteText"/>
        <w:rPr>
          <w:rFonts w:ascii="Times New Roman" w:hAnsi="Times New Roman" w:cs="Times New Roman"/>
          <w:sz w:val="22"/>
          <w:szCs w:val="22"/>
        </w:rPr>
      </w:pPr>
    </w:p>
  </w:endnote>
  <w:endnote w:id="121">
    <w:p w14:paraId="26BB0A2C" w14:textId="77777777" w:rsidR="00434620" w:rsidRPr="00294E32" w:rsidRDefault="00434620" w:rsidP="00AD651C">
      <w:pPr>
        <w:pStyle w:val="EndnoteText"/>
        <w:rPr>
          <w:rFonts w:ascii="Times New Roman" w:hAnsi="Times New Roman" w:cs="Times New Roman"/>
          <w:sz w:val="22"/>
          <w:szCs w:val="22"/>
        </w:rPr>
      </w:pPr>
      <w:r w:rsidRPr="009507A2">
        <w:rPr>
          <w:rStyle w:val="EndnoteReference"/>
          <w:rFonts w:ascii="Times New Roman" w:hAnsi="Times New Roman" w:cs="Times New Roman"/>
          <w:sz w:val="22"/>
          <w:szCs w:val="22"/>
        </w:rPr>
        <w:endnoteRef/>
      </w:r>
      <w:r w:rsidRPr="009507A2">
        <w:rPr>
          <w:rFonts w:ascii="Times New Roman" w:hAnsi="Times New Roman" w:cs="Times New Roman"/>
          <w:sz w:val="22"/>
          <w:szCs w:val="22"/>
        </w:rPr>
        <w:t xml:space="preserve"> </w:t>
      </w:r>
      <w:r w:rsidRPr="00E14B97">
        <w:rPr>
          <w:rFonts w:ascii="Times New Roman" w:hAnsi="Times New Roman" w:cs="Times New Roman"/>
          <w:i/>
          <w:sz w:val="22"/>
          <w:szCs w:val="22"/>
        </w:rPr>
        <w:t>See</w:t>
      </w:r>
      <w:r w:rsidRPr="00294E32">
        <w:rPr>
          <w:rFonts w:ascii="Times New Roman" w:hAnsi="Times New Roman" w:cs="Times New Roman"/>
          <w:sz w:val="22"/>
          <w:szCs w:val="22"/>
        </w:rPr>
        <w:t xml:space="preserve"> </w:t>
      </w:r>
      <w:r w:rsidRPr="009C4CE7">
        <w:rPr>
          <w:rFonts w:ascii="Times New Roman" w:hAnsi="Times New Roman" w:cs="Times New Roman"/>
          <w:i/>
          <w:sz w:val="22"/>
          <w:szCs w:val="22"/>
        </w:rPr>
        <w:t>Reserve</w:t>
      </w:r>
      <w:r>
        <w:rPr>
          <w:rFonts w:ascii="Times New Roman" w:hAnsi="Times New Roman" w:cs="Times New Roman"/>
          <w:sz w:val="22"/>
          <w:szCs w:val="22"/>
        </w:rPr>
        <w:t xml:space="preserve"> </w:t>
      </w:r>
      <w:r w:rsidRPr="00294E32">
        <w:rPr>
          <w:rFonts w:ascii="Times New Roman" w:hAnsi="Times New Roman" w:cs="Times New Roman"/>
          <w:sz w:val="22"/>
          <w:szCs w:val="22"/>
        </w:rPr>
        <w:t>at page 45.</w:t>
      </w:r>
    </w:p>
    <w:p w14:paraId="708207FB" w14:textId="77777777" w:rsidR="00434620" w:rsidRPr="00AE0F24" w:rsidRDefault="00434620" w:rsidP="00AD651C">
      <w:pPr>
        <w:pStyle w:val="EndnoteText"/>
        <w:rPr>
          <w:rFonts w:ascii="Times New Roman" w:hAnsi="Times New Roman" w:cs="Times New Roman"/>
          <w:sz w:val="22"/>
          <w:szCs w:val="22"/>
        </w:rPr>
      </w:pPr>
    </w:p>
  </w:endnote>
  <w:endnote w:id="122">
    <w:p w14:paraId="5A03F6AF" w14:textId="57011899" w:rsidR="00434620" w:rsidRDefault="00434620" w:rsidP="00607921">
      <w:pPr>
        <w:pStyle w:val="EndnoteText"/>
        <w:rPr>
          <w:rFonts w:ascii="Times New Roman" w:hAnsi="Times New Roman" w:cs="Times New Roman"/>
          <w:sz w:val="22"/>
          <w:szCs w:val="22"/>
        </w:rPr>
      </w:pPr>
      <w:r w:rsidRPr="00294E32">
        <w:rPr>
          <w:rStyle w:val="EndnoteReference"/>
          <w:rFonts w:ascii="Times New Roman" w:hAnsi="Times New Roman" w:cs="Times New Roman"/>
          <w:sz w:val="22"/>
          <w:szCs w:val="22"/>
        </w:rPr>
        <w:endnoteRef/>
      </w:r>
      <w:r w:rsidRPr="00294E32">
        <w:rPr>
          <w:rFonts w:ascii="Times New Roman" w:hAnsi="Times New Roman" w:cs="Times New Roman"/>
          <w:sz w:val="22"/>
          <w:szCs w:val="22"/>
        </w:rPr>
        <w:t xml:space="preserve"> </w:t>
      </w:r>
      <w:r w:rsidRPr="00E14B97">
        <w:rPr>
          <w:rFonts w:ascii="Times New Roman" w:hAnsi="Times New Roman" w:cs="Times New Roman"/>
          <w:i/>
          <w:sz w:val="22"/>
          <w:szCs w:val="22"/>
        </w:rPr>
        <w:t>See</w:t>
      </w:r>
      <w:r w:rsidRPr="00294E32">
        <w:rPr>
          <w:rFonts w:ascii="Times New Roman" w:hAnsi="Times New Roman" w:cs="Times New Roman"/>
          <w:sz w:val="22"/>
          <w:szCs w:val="22"/>
        </w:rPr>
        <w:t xml:space="preserve"> Exhibit </w:t>
      </w:r>
      <w:r>
        <w:rPr>
          <w:rFonts w:ascii="Times New Roman" w:hAnsi="Times New Roman" w:cs="Times New Roman"/>
          <w:sz w:val="22"/>
          <w:szCs w:val="22"/>
        </w:rPr>
        <w:t>132-P (</w:t>
      </w:r>
      <w:r w:rsidRPr="00B056F4">
        <w:rPr>
          <w:rFonts w:ascii="Times New Roman" w:hAnsi="Times New Roman" w:cs="Times New Roman"/>
          <w:sz w:val="22"/>
          <w:szCs w:val="22"/>
        </w:rPr>
        <w:t xml:space="preserve">39 Separate Ruling Determinations Issued by </w:t>
      </w:r>
      <w:r>
        <w:rPr>
          <w:rFonts w:ascii="Times New Roman" w:hAnsi="Times New Roman" w:cs="Times New Roman"/>
          <w:sz w:val="22"/>
          <w:szCs w:val="22"/>
        </w:rPr>
        <w:t xml:space="preserve">the </w:t>
      </w:r>
      <w:r w:rsidRPr="00B056F4">
        <w:rPr>
          <w:rFonts w:ascii="Times New Roman" w:hAnsi="Times New Roman" w:cs="Times New Roman"/>
          <w:sz w:val="22"/>
          <w:szCs w:val="22"/>
        </w:rPr>
        <w:t>IRS to</w:t>
      </w:r>
      <w:r>
        <w:rPr>
          <w:rFonts w:ascii="Times New Roman" w:hAnsi="Times New Roman" w:cs="Times New Roman"/>
          <w:sz w:val="22"/>
          <w:szCs w:val="22"/>
        </w:rPr>
        <w:t xml:space="preserve"> </w:t>
      </w:r>
      <w:r w:rsidRPr="00B056F4">
        <w:rPr>
          <w:rFonts w:ascii="Times New Roman" w:hAnsi="Times New Roman" w:cs="Times New Roman"/>
          <w:sz w:val="22"/>
          <w:szCs w:val="22"/>
        </w:rPr>
        <w:t>Property and Casualty Insurance Companies Managed by Capstone in Recognition of Exemption from Federal Income Tax Under section 501(c)(15) of the Internal Revenue Code</w:t>
      </w:r>
      <w:r>
        <w:rPr>
          <w:rFonts w:ascii="Times New Roman" w:hAnsi="Times New Roman" w:cs="Times New Roman"/>
          <w:sz w:val="22"/>
          <w:szCs w:val="22"/>
        </w:rPr>
        <w:t xml:space="preserve">).  </w:t>
      </w:r>
      <w:r w:rsidRPr="00E14B97">
        <w:rPr>
          <w:rFonts w:ascii="Times New Roman" w:hAnsi="Times New Roman" w:cs="Times New Roman"/>
          <w:i/>
          <w:sz w:val="22"/>
          <w:szCs w:val="22"/>
        </w:rPr>
        <w:t>See also</w:t>
      </w:r>
      <w:r>
        <w:rPr>
          <w:rFonts w:ascii="Times New Roman" w:hAnsi="Times New Roman" w:cs="Times New Roman"/>
          <w:sz w:val="22"/>
          <w:szCs w:val="22"/>
        </w:rPr>
        <w:t xml:space="preserve"> testimony of Stewart Feldman, Tr. at 676.  Mr. Feldman testified that Exhibit 132-P contained </w:t>
      </w:r>
      <w:r w:rsidRPr="00607921">
        <w:rPr>
          <w:rFonts w:ascii="Times New Roman" w:hAnsi="Times New Roman" w:cs="Times New Roman"/>
          <w:sz w:val="22"/>
          <w:szCs w:val="22"/>
        </w:rPr>
        <w:t xml:space="preserve">39 </w:t>
      </w:r>
      <w:r>
        <w:rPr>
          <w:rFonts w:ascii="Times New Roman" w:hAnsi="Times New Roman" w:cs="Times New Roman"/>
          <w:sz w:val="22"/>
          <w:szCs w:val="22"/>
        </w:rPr>
        <w:t xml:space="preserve">different </w:t>
      </w:r>
      <w:r w:rsidRPr="00607921">
        <w:rPr>
          <w:rFonts w:ascii="Times New Roman" w:hAnsi="Times New Roman" w:cs="Times New Roman"/>
          <w:sz w:val="22"/>
          <w:szCs w:val="22"/>
        </w:rPr>
        <w:t>ruling</w:t>
      </w:r>
      <w:r>
        <w:rPr>
          <w:rFonts w:ascii="Times New Roman" w:hAnsi="Times New Roman" w:cs="Times New Roman"/>
          <w:sz w:val="22"/>
          <w:szCs w:val="22"/>
        </w:rPr>
        <w:t xml:space="preserve"> </w:t>
      </w:r>
      <w:r w:rsidRPr="00607921">
        <w:rPr>
          <w:rFonts w:ascii="Times New Roman" w:hAnsi="Times New Roman" w:cs="Times New Roman"/>
          <w:sz w:val="22"/>
          <w:szCs w:val="22"/>
        </w:rPr>
        <w:t xml:space="preserve">determinations, affirmative rulings from the </w:t>
      </w:r>
      <w:r>
        <w:rPr>
          <w:rFonts w:ascii="Times New Roman" w:hAnsi="Times New Roman" w:cs="Times New Roman"/>
          <w:sz w:val="22"/>
          <w:szCs w:val="22"/>
        </w:rPr>
        <w:t xml:space="preserve">Internal Revenue </w:t>
      </w:r>
      <w:r w:rsidRPr="00607921">
        <w:rPr>
          <w:rFonts w:ascii="Times New Roman" w:hAnsi="Times New Roman" w:cs="Times New Roman"/>
          <w:sz w:val="22"/>
          <w:szCs w:val="22"/>
        </w:rPr>
        <w:t>Service,</w:t>
      </w:r>
      <w:r>
        <w:rPr>
          <w:rFonts w:ascii="Times New Roman" w:hAnsi="Times New Roman" w:cs="Times New Roman"/>
          <w:sz w:val="22"/>
          <w:szCs w:val="22"/>
        </w:rPr>
        <w:t xml:space="preserve"> which were “</w:t>
      </w:r>
      <w:r w:rsidRPr="00607921">
        <w:rPr>
          <w:rFonts w:ascii="Times New Roman" w:hAnsi="Times New Roman" w:cs="Times New Roman"/>
          <w:sz w:val="22"/>
          <w:szCs w:val="22"/>
        </w:rPr>
        <w:t>approvals from the Service on a</w:t>
      </w:r>
      <w:r>
        <w:rPr>
          <w:rFonts w:ascii="Times New Roman" w:hAnsi="Times New Roman" w:cs="Times New Roman"/>
          <w:sz w:val="22"/>
          <w:szCs w:val="22"/>
        </w:rPr>
        <w:t xml:space="preserve"> </w:t>
      </w:r>
      <w:r w:rsidRPr="00607921">
        <w:rPr>
          <w:rFonts w:ascii="Times New Roman" w:hAnsi="Times New Roman" w:cs="Times New Roman"/>
          <w:sz w:val="22"/>
          <w:szCs w:val="22"/>
        </w:rPr>
        <w:t>501(c)(15) determination, based on a Form 1024</w:t>
      </w:r>
      <w:r>
        <w:rPr>
          <w:rFonts w:ascii="Times New Roman" w:hAnsi="Times New Roman" w:cs="Times New Roman"/>
          <w:sz w:val="22"/>
          <w:szCs w:val="22"/>
        </w:rPr>
        <w:t xml:space="preserve"> </w:t>
      </w:r>
      <w:r w:rsidRPr="00607921">
        <w:rPr>
          <w:rFonts w:ascii="Times New Roman" w:hAnsi="Times New Roman" w:cs="Times New Roman"/>
          <w:sz w:val="22"/>
          <w:szCs w:val="22"/>
        </w:rPr>
        <w:t>application</w:t>
      </w:r>
      <w:r>
        <w:rPr>
          <w:rFonts w:ascii="Times New Roman" w:hAnsi="Times New Roman" w:cs="Times New Roman"/>
          <w:sz w:val="22"/>
          <w:szCs w:val="22"/>
        </w:rPr>
        <w:t>.”  Mr. Feldman also testified that</w:t>
      </w:r>
      <w:r w:rsidRPr="00491FDF">
        <w:rPr>
          <w:rFonts w:ascii="Times New Roman" w:hAnsi="Times New Roman" w:cs="Times New Roman"/>
          <w:sz w:val="22"/>
          <w:szCs w:val="22"/>
        </w:rPr>
        <w:t xml:space="preserve"> the captive insurance companies</w:t>
      </w:r>
      <w:r>
        <w:rPr>
          <w:rFonts w:ascii="Times New Roman" w:hAnsi="Times New Roman" w:cs="Times New Roman"/>
          <w:sz w:val="22"/>
          <w:szCs w:val="22"/>
        </w:rPr>
        <w:t xml:space="preserve"> </w:t>
      </w:r>
      <w:r w:rsidRPr="00491FDF">
        <w:rPr>
          <w:rFonts w:ascii="Times New Roman" w:hAnsi="Times New Roman" w:cs="Times New Roman"/>
          <w:sz w:val="22"/>
          <w:szCs w:val="22"/>
        </w:rPr>
        <w:t xml:space="preserve">that were the subject of these </w:t>
      </w:r>
      <w:r>
        <w:rPr>
          <w:rFonts w:ascii="Times New Roman" w:hAnsi="Times New Roman" w:cs="Times New Roman"/>
          <w:sz w:val="22"/>
          <w:szCs w:val="22"/>
        </w:rPr>
        <w:t xml:space="preserve">39 ruling </w:t>
      </w:r>
      <w:r w:rsidRPr="00491FDF">
        <w:rPr>
          <w:rFonts w:ascii="Times New Roman" w:hAnsi="Times New Roman" w:cs="Times New Roman"/>
          <w:sz w:val="22"/>
          <w:szCs w:val="22"/>
        </w:rPr>
        <w:t xml:space="preserve">requests </w:t>
      </w:r>
      <w:r>
        <w:rPr>
          <w:rFonts w:ascii="Times New Roman" w:hAnsi="Times New Roman" w:cs="Times New Roman"/>
          <w:sz w:val="22"/>
          <w:szCs w:val="22"/>
        </w:rPr>
        <w:t xml:space="preserve">were “basically exactly the same” (referring to the fact that each of these captives had participated in the same PoolRe pooling arrangement in which Reserve had participated).  </w:t>
      </w:r>
      <w:r w:rsidRPr="00E14B97">
        <w:rPr>
          <w:rFonts w:ascii="Times New Roman" w:hAnsi="Times New Roman" w:cs="Times New Roman"/>
          <w:i/>
          <w:sz w:val="22"/>
          <w:szCs w:val="22"/>
        </w:rPr>
        <w:t>See</w:t>
      </w:r>
      <w:r>
        <w:rPr>
          <w:rFonts w:ascii="Times New Roman" w:hAnsi="Times New Roman" w:cs="Times New Roman"/>
          <w:sz w:val="22"/>
          <w:szCs w:val="22"/>
        </w:rPr>
        <w:t xml:space="preserve"> Tr. at 676.</w:t>
      </w:r>
    </w:p>
    <w:p w14:paraId="651B76A8" w14:textId="77777777" w:rsidR="00434620" w:rsidRPr="00294E32" w:rsidRDefault="00434620" w:rsidP="00607921">
      <w:pPr>
        <w:pStyle w:val="EndnoteText"/>
        <w:rPr>
          <w:rFonts w:ascii="Times New Roman" w:hAnsi="Times New Roman" w:cs="Times New Roman"/>
          <w:sz w:val="22"/>
          <w:szCs w:val="22"/>
        </w:rPr>
      </w:pPr>
    </w:p>
  </w:endnote>
  <w:endnote w:id="123">
    <w:p w14:paraId="69A3F820" w14:textId="5251E40A" w:rsidR="00434620" w:rsidRPr="009507A2" w:rsidRDefault="00434620" w:rsidP="00AD651C">
      <w:pPr>
        <w:pStyle w:val="EndnoteText"/>
        <w:rPr>
          <w:rFonts w:ascii="Times New Roman" w:hAnsi="Times New Roman" w:cs="Times New Roman"/>
          <w:sz w:val="22"/>
          <w:szCs w:val="22"/>
        </w:rPr>
      </w:pPr>
      <w:r w:rsidRPr="009507A2">
        <w:rPr>
          <w:rStyle w:val="EndnoteReference"/>
          <w:rFonts w:ascii="Times New Roman" w:hAnsi="Times New Roman" w:cs="Times New Roman"/>
          <w:sz w:val="22"/>
          <w:szCs w:val="22"/>
        </w:rPr>
        <w:endnoteRef/>
      </w:r>
      <w:r w:rsidRPr="009507A2">
        <w:rPr>
          <w:rFonts w:ascii="Times New Roman" w:hAnsi="Times New Roman" w:cs="Times New Roman"/>
          <w:sz w:val="22"/>
          <w:szCs w:val="22"/>
        </w:rPr>
        <w:t xml:space="preserve"> </w:t>
      </w:r>
      <w:r w:rsidRPr="00E14B97">
        <w:rPr>
          <w:rFonts w:ascii="Times New Roman" w:hAnsi="Times New Roman" w:cs="Times New Roman"/>
          <w:i/>
          <w:sz w:val="22"/>
          <w:szCs w:val="22"/>
        </w:rPr>
        <w:t>See</w:t>
      </w:r>
      <w:r>
        <w:rPr>
          <w:rFonts w:ascii="Times New Roman" w:hAnsi="Times New Roman" w:cs="Times New Roman"/>
          <w:sz w:val="22"/>
          <w:szCs w:val="22"/>
        </w:rPr>
        <w:t xml:space="preserve"> </w:t>
      </w:r>
      <w:r w:rsidRPr="009C239A">
        <w:rPr>
          <w:rFonts w:ascii="Times New Roman" w:hAnsi="Times New Roman" w:cs="Times New Roman"/>
          <w:sz w:val="22"/>
          <w:szCs w:val="22"/>
        </w:rPr>
        <w:t>Exhibit 136-R (Opening Expert Report of Donald J. Riggin, March 27, 2017)</w:t>
      </w:r>
      <w:r>
        <w:rPr>
          <w:rFonts w:ascii="Times New Roman" w:hAnsi="Times New Roman" w:cs="Times New Roman"/>
          <w:sz w:val="22"/>
          <w:szCs w:val="22"/>
        </w:rPr>
        <w:t>, page 10, paragraph 30.</w:t>
      </w:r>
    </w:p>
    <w:p w14:paraId="5272CF72" w14:textId="77777777" w:rsidR="00434620" w:rsidRPr="009507A2" w:rsidRDefault="00434620" w:rsidP="00AD651C">
      <w:pPr>
        <w:pStyle w:val="EndnoteText"/>
        <w:rPr>
          <w:rFonts w:ascii="Times New Roman" w:hAnsi="Times New Roman" w:cs="Times New Roman"/>
          <w:sz w:val="22"/>
          <w:szCs w:val="22"/>
        </w:rPr>
      </w:pPr>
    </w:p>
  </w:endnote>
  <w:endnote w:id="124">
    <w:p w14:paraId="198D30DE" w14:textId="288BDDEF" w:rsidR="00434620" w:rsidRPr="009507A2" w:rsidRDefault="00434620" w:rsidP="00AD651C">
      <w:pPr>
        <w:pStyle w:val="EndnoteText"/>
        <w:rPr>
          <w:rFonts w:ascii="Times New Roman" w:hAnsi="Times New Roman" w:cs="Times New Roman"/>
          <w:sz w:val="22"/>
          <w:szCs w:val="22"/>
        </w:rPr>
      </w:pPr>
      <w:r w:rsidRPr="009507A2">
        <w:rPr>
          <w:rStyle w:val="EndnoteReference"/>
          <w:rFonts w:ascii="Times New Roman" w:hAnsi="Times New Roman" w:cs="Times New Roman"/>
          <w:sz w:val="22"/>
          <w:szCs w:val="22"/>
        </w:rPr>
        <w:endnoteRef/>
      </w:r>
      <w:r w:rsidRPr="009507A2">
        <w:rPr>
          <w:rFonts w:ascii="Times New Roman" w:hAnsi="Times New Roman" w:cs="Times New Roman"/>
          <w:sz w:val="22"/>
          <w:szCs w:val="22"/>
        </w:rPr>
        <w:t xml:space="preserve"> </w:t>
      </w:r>
      <w:r w:rsidRPr="00E14B97">
        <w:rPr>
          <w:rFonts w:ascii="Times New Roman" w:hAnsi="Times New Roman" w:cs="Times New Roman"/>
          <w:i/>
          <w:sz w:val="22"/>
          <w:szCs w:val="22"/>
        </w:rPr>
        <w:t>See</w:t>
      </w:r>
      <w:r w:rsidRPr="003C6B52">
        <w:rPr>
          <w:rFonts w:ascii="Times New Roman" w:hAnsi="Times New Roman" w:cs="Times New Roman"/>
          <w:sz w:val="22"/>
          <w:szCs w:val="22"/>
        </w:rPr>
        <w:t xml:space="preserve"> Exhibit 136-R (Opening Expert Report of Donald J. Riggin, March 27, 2017), page 10, paragraph 3</w:t>
      </w:r>
      <w:r>
        <w:rPr>
          <w:rFonts w:ascii="Times New Roman" w:hAnsi="Times New Roman" w:cs="Times New Roman"/>
          <w:sz w:val="22"/>
          <w:szCs w:val="22"/>
        </w:rPr>
        <w:t>1</w:t>
      </w:r>
      <w:r w:rsidRPr="003C6B52">
        <w:rPr>
          <w:rFonts w:ascii="Times New Roman" w:hAnsi="Times New Roman" w:cs="Times New Roman"/>
          <w:sz w:val="22"/>
          <w:szCs w:val="22"/>
        </w:rPr>
        <w:t>.</w:t>
      </w:r>
    </w:p>
    <w:p w14:paraId="58987011" w14:textId="77777777" w:rsidR="00434620" w:rsidRPr="009507A2" w:rsidRDefault="00434620" w:rsidP="00AD651C">
      <w:pPr>
        <w:pStyle w:val="EndnoteText"/>
        <w:rPr>
          <w:rFonts w:ascii="Times New Roman" w:hAnsi="Times New Roman" w:cs="Times New Roman"/>
          <w:sz w:val="22"/>
          <w:szCs w:val="22"/>
        </w:rPr>
      </w:pPr>
    </w:p>
  </w:endnote>
  <w:endnote w:id="125">
    <w:p w14:paraId="6B101796" w14:textId="55077368" w:rsidR="00434620" w:rsidRPr="009507A2" w:rsidRDefault="00434620" w:rsidP="00AD651C">
      <w:pPr>
        <w:pStyle w:val="EndnoteText"/>
        <w:rPr>
          <w:rFonts w:ascii="Times New Roman" w:hAnsi="Times New Roman" w:cs="Times New Roman"/>
          <w:sz w:val="22"/>
          <w:szCs w:val="22"/>
        </w:rPr>
      </w:pPr>
      <w:r w:rsidRPr="009507A2">
        <w:rPr>
          <w:rStyle w:val="EndnoteReference"/>
          <w:rFonts w:ascii="Times New Roman" w:hAnsi="Times New Roman" w:cs="Times New Roman"/>
          <w:sz w:val="22"/>
          <w:szCs w:val="22"/>
        </w:rPr>
        <w:endnoteRef/>
      </w:r>
      <w:r w:rsidRPr="009507A2">
        <w:rPr>
          <w:rFonts w:ascii="Times New Roman" w:hAnsi="Times New Roman" w:cs="Times New Roman"/>
          <w:sz w:val="22"/>
          <w:szCs w:val="22"/>
        </w:rPr>
        <w:t xml:space="preserve"> </w:t>
      </w:r>
      <w:r w:rsidRPr="00045292">
        <w:rPr>
          <w:rFonts w:ascii="Times New Roman" w:hAnsi="Times New Roman" w:cs="Times New Roman"/>
          <w:i/>
          <w:sz w:val="22"/>
          <w:szCs w:val="22"/>
        </w:rPr>
        <w:t>See</w:t>
      </w:r>
      <w:r w:rsidRPr="003C6B52">
        <w:rPr>
          <w:rFonts w:ascii="Times New Roman" w:hAnsi="Times New Roman" w:cs="Times New Roman"/>
          <w:sz w:val="22"/>
          <w:szCs w:val="22"/>
        </w:rPr>
        <w:t xml:space="preserve"> Exhibit 136-R (Opening Expert Report of Donald J. Riggin, March 27, 2017), page 1</w:t>
      </w:r>
      <w:r>
        <w:rPr>
          <w:rFonts w:ascii="Times New Roman" w:hAnsi="Times New Roman" w:cs="Times New Roman"/>
          <w:sz w:val="22"/>
          <w:szCs w:val="22"/>
        </w:rPr>
        <w:t>5</w:t>
      </w:r>
      <w:r w:rsidRPr="003C6B52">
        <w:rPr>
          <w:rFonts w:ascii="Times New Roman" w:hAnsi="Times New Roman" w:cs="Times New Roman"/>
          <w:sz w:val="22"/>
          <w:szCs w:val="22"/>
        </w:rPr>
        <w:t xml:space="preserve">, paragraph </w:t>
      </w:r>
      <w:r>
        <w:rPr>
          <w:rFonts w:ascii="Times New Roman" w:hAnsi="Times New Roman" w:cs="Times New Roman"/>
          <w:sz w:val="22"/>
          <w:szCs w:val="22"/>
        </w:rPr>
        <w:t>55</w:t>
      </w:r>
      <w:r w:rsidRPr="003C6B52">
        <w:rPr>
          <w:rFonts w:ascii="Times New Roman" w:hAnsi="Times New Roman" w:cs="Times New Roman"/>
          <w:sz w:val="22"/>
          <w:szCs w:val="22"/>
        </w:rPr>
        <w:t>.</w:t>
      </w:r>
    </w:p>
    <w:p w14:paraId="6365C668" w14:textId="77777777" w:rsidR="00434620" w:rsidRPr="00CA5656" w:rsidRDefault="00434620" w:rsidP="00AD651C">
      <w:pPr>
        <w:pStyle w:val="EndnoteText"/>
        <w:rPr>
          <w:rFonts w:ascii="Times New Roman" w:hAnsi="Times New Roman" w:cs="Times New Roman"/>
          <w:sz w:val="22"/>
          <w:szCs w:val="22"/>
        </w:rPr>
      </w:pPr>
    </w:p>
  </w:endnote>
  <w:endnote w:id="126">
    <w:p w14:paraId="527979CB" w14:textId="06168F08" w:rsidR="00434620" w:rsidRDefault="00434620" w:rsidP="00AD651C">
      <w:pPr>
        <w:pStyle w:val="EndnoteText"/>
        <w:rPr>
          <w:rFonts w:ascii="Times New Roman" w:hAnsi="Times New Roman" w:cs="Times New Roman"/>
          <w:sz w:val="22"/>
          <w:szCs w:val="22"/>
        </w:rPr>
      </w:pPr>
      <w:r w:rsidRPr="001437A8">
        <w:rPr>
          <w:rStyle w:val="EndnoteReference"/>
          <w:rFonts w:ascii="Times New Roman" w:hAnsi="Times New Roman" w:cs="Times New Roman"/>
          <w:sz w:val="22"/>
          <w:szCs w:val="22"/>
        </w:rPr>
        <w:endnoteRef/>
      </w:r>
      <w:r w:rsidRPr="001437A8">
        <w:rPr>
          <w:rFonts w:ascii="Times New Roman" w:hAnsi="Times New Roman" w:cs="Times New Roman"/>
          <w:sz w:val="22"/>
          <w:szCs w:val="22"/>
        </w:rPr>
        <w:t xml:space="preserve"> </w:t>
      </w:r>
      <w:r w:rsidRPr="00045292">
        <w:rPr>
          <w:rFonts w:ascii="Times New Roman" w:hAnsi="Times New Roman" w:cs="Times New Roman"/>
          <w:i/>
          <w:sz w:val="22"/>
          <w:szCs w:val="22"/>
        </w:rPr>
        <w:t>See</w:t>
      </w:r>
      <w:r w:rsidRPr="001437A8">
        <w:rPr>
          <w:rFonts w:ascii="Times New Roman" w:hAnsi="Times New Roman" w:cs="Times New Roman"/>
          <w:sz w:val="22"/>
          <w:szCs w:val="22"/>
        </w:rPr>
        <w:t xml:space="preserve"> Exhibit 13</w:t>
      </w:r>
      <w:r>
        <w:rPr>
          <w:rFonts w:ascii="Times New Roman" w:hAnsi="Times New Roman" w:cs="Times New Roman"/>
          <w:sz w:val="22"/>
          <w:szCs w:val="22"/>
        </w:rPr>
        <w:t>7</w:t>
      </w:r>
      <w:r w:rsidRPr="001437A8">
        <w:rPr>
          <w:rFonts w:ascii="Times New Roman" w:hAnsi="Times New Roman" w:cs="Times New Roman"/>
          <w:sz w:val="22"/>
          <w:szCs w:val="22"/>
        </w:rPr>
        <w:t>-R (</w:t>
      </w:r>
      <w:r>
        <w:rPr>
          <w:rFonts w:ascii="Times New Roman" w:hAnsi="Times New Roman" w:cs="Times New Roman"/>
          <w:sz w:val="22"/>
          <w:szCs w:val="22"/>
        </w:rPr>
        <w:t>Rebuttal</w:t>
      </w:r>
      <w:r w:rsidRPr="001437A8">
        <w:rPr>
          <w:rFonts w:ascii="Times New Roman" w:hAnsi="Times New Roman" w:cs="Times New Roman"/>
          <w:sz w:val="22"/>
          <w:szCs w:val="22"/>
        </w:rPr>
        <w:t xml:space="preserve"> Expert Report of Donald J. Riggin, </w:t>
      </w:r>
      <w:r>
        <w:rPr>
          <w:rFonts w:ascii="Times New Roman" w:hAnsi="Times New Roman" w:cs="Times New Roman"/>
          <w:sz w:val="22"/>
          <w:szCs w:val="22"/>
        </w:rPr>
        <w:t>April 10</w:t>
      </w:r>
      <w:r w:rsidRPr="001437A8">
        <w:rPr>
          <w:rFonts w:ascii="Times New Roman" w:hAnsi="Times New Roman" w:cs="Times New Roman"/>
          <w:sz w:val="22"/>
          <w:szCs w:val="22"/>
        </w:rPr>
        <w:t>, 2017), page</w:t>
      </w:r>
      <w:r>
        <w:rPr>
          <w:rFonts w:ascii="Times New Roman" w:hAnsi="Times New Roman" w:cs="Times New Roman"/>
          <w:sz w:val="22"/>
          <w:szCs w:val="22"/>
        </w:rPr>
        <w:t>s 4-5</w:t>
      </w:r>
      <w:r w:rsidRPr="001437A8">
        <w:rPr>
          <w:rFonts w:ascii="Times New Roman" w:hAnsi="Times New Roman" w:cs="Times New Roman"/>
          <w:sz w:val="22"/>
          <w:szCs w:val="22"/>
        </w:rPr>
        <w:t>, paragraph</w:t>
      </w:r>
      <w:r>
        <w:rPr>
          <w:rFonts w:ascii="Times New Roman" w:hAnsi="Times New Roman" w:cs="Times New Roman"/>
          <w:sz w:val="22"/>
          <w:szCs w:val="22"/>
        </w:rPr>
        <w:t>s</w:t>
      </w:r>
      <w:r w:rsidRPr="001437A8">
        <w:rPr>
          <w:rFonts w:ascii="Times New Roman" w:hAnsi="Times New Roman" w:cs="Times New Roman"/>
          <w:sz w:val="22"/>
          <w:szCs w:val="22"/>
        </w:rPr>
        <w:t xml:space="preserve"> 5</w:t>
      </w:r>
      <w:r>
        <w:rPr>
          <w:rFonts w:ascii="Times New Roman" w:hAnsi="Times New Roman" w:cs="Times New Roman"/>
          <w:sz w:val="22"/>
          <w:szCs w:val="22"/>
        </w:rPr>
        <w:t>-12</w:t>
      </w:r>
      <w:r w:rsidRPr="001437A8">
        <w:rPr>
          <w:rFonts w:ascii="Times New Roman" w:hAnsi="Times New Roman" w:cs="Times New Roman"/>
          <w:sz w:val="22"/>
          <w:szCs w:val="22"/>
        </w:rPr>
        <w:t>.</w:t>
      </w:r>
    </w:p>
    <w:p w14:paraId="19423DCF" w14:textId="77777777" w:rsidR="00434620" w:rsidRPr="007A230F" w:rsidRDefault="00434620" w:rsidP="00AD651C">
      <w:pPr>
        <w:pStyle w:val="EndnoteText"/>
        <w:rPr>
          <w:rFonts w:ascii="Times New Roman" w:hAnsi="Times New Roman" w:cs="Times New Roman"/>
          <w:sz w:val="22"/>
          <w:szCs w:val="22"/>
        </w:rPr>
      </w:pPr>
    </w:p>
  </w:endnote>
  <w:endnote w:id="127">
    <w:p w14:paraId="1D49F89B" w14:textId="31BD8A70" w:rsidR="00434620" w:rsidRPr="00CA5656" w:rsidRDefault="00434620" w:rsidP="00AD651C">
      <w:pPr>
        <w:pStyle w:val="EndnoteText"/>
        <w:rPr>
          <w:rFonts w:ascii="Times New Roman" w:hAnsi="Times New Roman" w:cs="Times New Roman"/>
          <w:sz w:val="22"/>
          <w:szCs w:val="22"/>
        </w:rPr>
      </w:pPr>
      <w:r w:rsidRPr="00CA5656">
        <w:rPr>
          <w:rStyle w:val="EndnoteReference"/>
          <w:rFonts w:ascii="Times New Roman" w:hAnsi="Times New Roman" w:cs="Times New Roman"/>
          <w:sz w:val="22"/>
          <w:szCs w:val="22"/>
        </w:rPr>
        <w:endnoteRef/>
      </w:r>
      <w:r w:rsidRPr="00CA5656">
        <w:rPr>
          <w:rFonts w:ascii="Times New Roman" w:hAnsi="Times New Roman" w:cs="Times New Roman"/>
          <w:sz w:val="22"/>
          <w:szCs w:val="22"/>
        </w:rPr>
        <w:t xml:space="preserve"> </w:t>
      </w:r>
      <w:r w:rsidRPr="00045292">
        <w:rPr>
          <w:rFonts w:ascii="Times New Roman" w:hAnsi="Times New Roman" w:cs="Times New Roman"/>
          <w:i/>
          <w:sz w:val="22"/>
          <w:szCs w:val="22"/>
        </w:rPr>
        <w:t>See</w:t>
      </w:r>
      <w:r w:rsidRPr="00CA5656">
        <w:rPr>
          <w:rFonts w:ascii="Times New Roman" w:hAnsi="Times New Roman" w:cs="Times New Roman"/>
          <w:sz w:val="22"/>
          <w:szCs w:val="22"/>
        </w:rPr>
        <w:t xml:space="preserve"> Exhibit 137-R (Rebuttal Expert Report of Donald J. Riggin, April 10, 2017), page 5, paragraphs 12.</w:t>
      </w:r>
    </w:p>
    <w:p w14:paraId="39D313F2" w14:textId="77777777" w:rsidR="00434620" w:rsidRPr="00CA5656" w:rsidRDefault="00434620" w:rsidP="00AD651C">
      <w:pPr>
        <w:pStyle w:val="EndnoteText"/>
        <w:rPr>
          <w:rFonts w:ascii="Times New Roman" w:hAnsi="Times New Roman" w:cs="Times New Roman"/>
          <w:sz w:val="22"/>
          <w:szCs w:val="22"/>
        </w:rPr>
      </w:pPr>
    </w:p>
  </w:endnote>
  <w:endnote w:id="128">
    <w:p w14:paraId="71B1093F" w14:textId="19FBB2FC" w:rsidR="00434620" w:rsidRPr="00F07A84" w:rsidRDefault="00434620" w:rsidP="00AD651C">
      <w:pPr>
        <w:pStyle w:val="EndnoteText"/>
        <w:rPr>
          <w:rFonts w:ascii="Times New Roman" w:hAnsi="Times New Roman" w:cs="Times New Roman"/>
          <w:sz w:val="22"/>
          <w:szCs w:val="22"/>
        </w:rPr>
      </w:pPr>
      <w:r w:rsidRPr="00F07A84">
        <w:rPr>
          <w:rStyle w:val="EndnoteReference"/>
          <w:rFonts w:ascii="Times New Roman" w:hAnsi="Times New Roman" w:cs="Times New Roman"/>
          <w:sz w:val="22"/>
          <w:szCs w:val="22"/>
        </w:rPr>
        <w:endnoteRef/>
      </w:r>
      <w:r w:rsidRPr="00F07A84">
        <w:rPr>
          <w:rFonts w:ascii="Times New Roman" w:hAnsi="Times New Roman" w:cs="Times New Roman"/>
          <w:sz w:val="22"/>
          <w:szCs w:val="22"/>
        </w:rPr>
        <w:t xml:space="preserve"> </w:t>
      </w:r>
      <w:r w:rsidRPr="00045292">
        <w:rPr>
          <w:rFonts w:ascii="Times New Roman" w:hAnsi="Times New Roman" w:cs="Times New Roman"/>
          <w:i/>
          <w:sz w:val="22"/>
          <w:szCs w:val="22"/>
        </w:rPr>
        <w:t>See</w:t>
      </w:r>
      <w:r w:rsidRPr="00F07A84">
        <w:rPr>
          <w:rFonts w:ascii="Times New Roman" w:hAnsi="Times New Roman" w:cs="Times New Roman"/>
          <w:sz w:val="22"/>
          <w:szCs w:val="22"/>
        </w:rPr>
        <w:t xml:space="preserve"> Exhibit 137-R (Rebuttal Expert Report of Donald J. Riggin, April 10, 2017), page </w:t>
      </w:r>
      <w:r>
        <w:rPr>
          <w:rFonts w:ascii="Times New Roman" w:hAnsi="Times New Roman" w:cs="Times New Roman"/>
          <w:sz w:val="22"/>
          <w:szCs w:val="22"/>
        </w:rPr>
        <w:t>4</w:t>
      </w:r>
      <w:r w:rsidRPr="00F07A84">
        <w:rPr>
          <w:rFonts w:ascii="Times New Roman" w:hAnsi="Times New Roman" w:cs="Times New Roman"/>
          <w:sz w:val="22"/>
          <w:szCs w:val="22"/>
        </w:rPr>
        <w:t>, paragraph</w:t>
      </w:r>
      <w:r>
        <w:rPr>
          <w:rFonts w:ascii="Times New Roman" w:hAnsi="Times New Roman" w:cs="Times New Roman"/>
          <w:sz w:val="22"/>
          <w:szCs w:val="22"/>
        </w:rPr>
        <w:t xml:space="preserve"> 7.  Mr. Riggin’s position on “homogeneity of exposure units” was not consistent with (and more restrictive than) the position taken by the IRS with respect to this issue.  Although Mr. Riggin argued that homogeneity is an absolute requirement, the IRS has never done so.  The IRS </w:t>
      </w:r>
      <w:r w:rsidRPr="00716331">
        <w:rPr>
          <w:rFonts w:ascii="Times New Roman" w:hAnsi="Times New Roman" w:cs="Times New Roman"/>
          <w:sz w:val="22"/>
          <w:szCs w:val="22"/>
        </w:rPr>
        <w:t xml:space="preserve">requested comments </w:t>
      </w:r>
      <w:r>
        <w:rPr>
          <w:rFonts w:ascii="Times New Roman" w:hAnsi="Times New Roman" w:cs="Times New Roman"/>
          <w:sz w:val="22"/>
          <w:szCs w:val="22"/>
        </w:rPr>
        <w:t xml:space="preserve">in </w:t>
      </w:r>
      <w:r w:rsidRPr="004B19A3">
        <w:rPr>
          <w:rFonts w:ascii="Times New Roman" w:hAnsi="Times New Roman" w:cs="Times New Roman"/>
          <w:sz w:val="22"/>
          <w:szCs w:val="22"/>
        </w:rPr>
        <w:t>Notice 2005-49</w:t>
      </w:r>
      <w:r>
        <w:rPr>
          <w:rFonts w:ascii="Times New Roman" w:hAnsi="Times New Roman" w:cs="Times New Roman"/>
          <w:sz w:val="22"/>
          <w:szCs w:val="22"/>
        </w:rPr>
        <w:t xml:space="preserve"> </w:t>
      </w:r>
      <w:r w:rsidRPr="00716331">
        <w:rPr>
          <w:rFonts w:ascii="Times New Roman" w:hAnsi="Times New Roman" w:cs="Times New Roman"/>
          <w:sz w:val="22"/>
          <w:szCs w:val="22"/>
        </w:rPr>
        <w:t>concerning the relevance of homogeneity in determining whether risks are adequately distributed for an arrangement to qualify as insurance</w:t>
      </w:r>
      <w:r>
        <w:rPr>
          <w:rFonts w:ascii="Times New Roman" w:hAnsi="Times New Roman" w:cs="Times New Roman"/>
          <w:sz w:val="22"/>
          <w:szCs w:val="22"/>
        </w:rPr>
        <w:t>.  However,</w:t>
      </w:r>
      <w:r w:rsidRPr="00716331">
        <w:rPr>
          <w:rFonts w:ascii="Times New Roman" w:hAnsi="Times New Roman" w:cs="Times New Roman"/>
          <w:sz w:val="22"/>
          <w:szCs w:val="22"/>
        </w:rPr>
        <w:t xml:space="preserve"> the IRS has not published any guidance stating that homogeneity is required.  The IRS Office of Chief Counsel made the following statements regarding homogeneity</w:t>
      </w:r>
      <w:r>
        <w:rPr>
          <w:rFonts w:ascii="Times New Roman" w:hAnsi="Times New Roman" w:cs="Times New Roman"/>
          <w:sz w:val="22"/>
          <w:szCs w:val="22"/>
        </w:rPr>
        <w:t xml:space="preserve"> in </w:t>
      </w:r>
      <w:r w:rsidRPr="004C5215">
        <w:rPr>
          <w:rFonts w:ascii="Times New Roman" w:hAnsi="Times New Roman" w:cs="Times New Roman"/>
          <w:sz w:val="22"/>
          <w:szCs w:val="22"/>
        </w:rPr>
        <w:t>CCA 200849013 (Dec. 5, 2008)</w:t>
      </w:r>
      <w:r w:rsidRPr="00716331">
        <w:rPr>
          <w:rFonts w:ascii="Times New Roman" w:hAnsi="Times New Roman" w:cs="Times New Roman"/>
          <w:sz w:val="22"/>
          <w:szCs w:val="22"/>
        </w:rPr>
        <w:t>: “We have mentioned homogeneity in several revenue rulings without addressing the relevance of homogeneity as a factor in the subsequent insurance analysis… We have not yet published guidance expressing our position on this issue.”</w:t>
      </w:r>
    </w:p>
    <w:p w14:paraId="2FBCAA07" w14:textId="77777777" w:rsidR="00434620" w:rsidRPr="007D11FB" w:rsidRDefault="00434620" w:rsidP="00AD651C">
      <w:pPr>
        <w:pStyle w:val="EndnoteText"/>
        <w:rPr>
          <w:rFonts w:ascii="Times New Roman" w:hAnsi="Times New Roman" w:cs="Times New Roman"/>
          <w:sz w:val="22"/>
          <w:szCs w:val="22"/>
        </w:rPr>
      </w:pPr>
    </w:p>
  </w:endnote>
  <w:endnote w:id="129">
    <w:p w14:paraId="73D396FF" w14:textId="6C8F8E89" w:rsidR="00434620" w:rsidRPr="007D11FB" w:rsidRDefault="00434620" w:rsidP="007D11FB">
      <w:pPr>
        <w:pStyle w:val="EndnoteText"/>
        <w:rPr>
          <w:rFonts w:ascii="Times New Roman" w:hAnsi="Times New Roman" w:cs="Times New Roman"/>
          <w:sz w:val="22"/>
          <w:szCs w:val="22"/>
        </w:rPr>
      </w:pPr>
      <w:r w:rsidRPr="007D11FB">
        <w:rPr>
          <w:rStyle w:val="EndnoteReference"/>
          <w:rFonts w:ascii="Times New Roman" w:hAnsi="Times New Roman" w:cs="Times New Roman"/>
          <w:sz w:val="22"/>
          <w:szCs w:val="22"/>
        </w:rPr>
        <w:endnoteRef/>
      </w:r>
      <w:r w:rsidRPr="007D11FB">
        <w:rPr>
          <w:rFonts w:ascii="Times New Roman" w:hAnsi="Times New Roman" w:cs="Times New Roman"/>
          <w:sz w:val="22"/>
          <w:szCs w:val="22"/>
        </w:rPr>
        <w:t xml:space="preserve"> </w:t>
      </w:r>
      <w:r w:rsidRPr="00045292">
        <w:rPr>
          <w:rFonts w:ascii="Times New Roman" w:hAnsi="Times New Roman" w:cs="Times New Roman"/>
          <w:i/>
          <w:sz w:val="22"/>
          <w:szCs w:val="22"/>
        </w:rPr>
        <w:t>See</w:t>
      </w:r>
      <w:r w:rsidRPr="00071226">
        <w:rPr>
          <w:rFonts w:ascii="Times New Roman" w:hAnsi="Times New Roman" w:cs="Times New Roman"/>
          <w:sz w:val="22"/>
          <w:szCs w:val="22"/>
        </w:rPr>
        <w:t xml:space="preserve"> Exhibit 107-P (</w:t>
      </w:r>
      <w:r>
        <w:rPr>
          <w:rFonts w:ascii="Times New Roman" w:hAnsi="Times New Roman" w:cs="Times New Roman"/>
          <w:sz w:val="22"/>
          <w:szCs w:val="22"/>
        </w:rPr>
        <w:t xml:space="preserve">Dr. Neil Doherty – </w:t>
      </w:r>
      <w:r w:rsidRPr="00071226">
        <w:rPr>
          <w:rFonts w:ascii="Times New Roman" w:hAnsi="Times New Roman" w:cs="Times New Roman"/>
          <w:sz w:val="22"/>
          <w:szCs w:val="22"/>
        </w:rPr>
        <w:t xml:space="preserve">Rebuttal of Expert Report of Mr. Donald J. Riggin, April 5, 2017), page </w:t>
      </w:r>
      <w:r>
        <w:rPr>
          <w:rFonts w:ascii="Times New Roman" w:hAnsi="Times New Roman" w:cs="Times New Roman"/>
          <w:sz w:val="22"/>
          <w:szCs w:val="22"/>
        </w:rPr>
        <w:t xml:space="preserve">5, where Dr. Doherty </w:t>
      </w:r>
      <w:r w:rsidRPr="00D1145D">
        <w:rPr>
          <w:rFonts w:ascii="Times New Roman" w:hAnsi="Times New Roman" w:cs="Times New Roman"/>
          <w:sz w:val="22"/>
          <w:szCs w:val="22"/>
        </w:rPr>
        <w:t>explained that homogeneity of exposure units is not a requirement for an insurer to be able to estimate expected losses:  “</w:t>
      </w:r>
      <w:r w:rsidRPr="00D1145D">
        <w:rPr>
          <w:rFonts w:ascii="Times New Roman" w:hAnsi="Times New Roman" w:cs="Times New Roman"/>
          <w:b/>
          <w:sz w:val="22"/>
          <w:szCs w:val="22"/>
        </w:rPr>
        <w:t>Mr. Riggin’s statement that homogeneous exposures are necessary in order to estimate expected losses is patently false</w:t>
      </w:r>
      <w:r w:rsidRPr="00D1145D">
        <w:rPr>
          <w:rFonts w:ascii="Times New Roman" w:hAnsi="Times New Roman" w:cs="Times New Roman"/>
          <w:sz w:val="22"/>
          <w:szCs w:val="22"/>
        </w:rPr>
        <w:t>. As I described above, we have standard actuarial techniques to estimate average losses in portfolios with heterogeneous risks. Moreover, the most basic part of the actuary's toolbox</w:t>
      </w:r>
      <w:r w:rsidRPr="007D11FB">
        <w:rPr>
          <w:rFonts w:ascii="Times New Roman" w:hAnsi="Times New Roman" w:cs="Times New Roman"/>
          <w:sz w:val="22"/>
          <w:szCs w:val="22"/>
        </w:rPr>
        <w:t xml:space="preserve"> is the</w:t>
      </w:r>
      <w:r>
        <w:rPr>
          <w:rFonts w:ascii="Times New Roman" w:hAnsi="Times New Roman" w:cs="Times New Roman"/>
          <w:sz w:val="22"/>
          <w:szCs w:val="22"/>
        </w:rPr>
        <w:t xml:space="preserve"> </w:t>
      </w:r>
      <w:r w:rsidRPr="007D11FB">
        <w:rPr>
          <w:rFonts w:ascii="Times New Roman" w:hAnsi="Times New Roman" w:cs="Times New Roman"/>
          <w:sz w:val="22"/>
          <w:szCs w:val="22"/>
        </w:rPr>
        <w:t>technology for</w:t>
      </w:r>
      <w:r>
        <w:rPr>
          <w:rFonts w:ascii="Times New Roman" w:hAnsi="Times New Roman" w:cs="Times New Roman"/>
          <w:sz w:val="22"/>
          <w:szCs w:val="22"/>
        </w:rPr>
        <w:t xml:space="preserve"> </w:t>
      </w:r>
      <w:r w:rsidRPr="007D11FB">
        <w:rPr>
          <w:rFonts w:ascii="Times New Roman" w:hAnsi="Times New Roman" w:cs="Times New Roman"/>
          <w:sz w:val="22"/>
          <w:szCs w:val="22"/>
        </w:rPr>
        <w:t>insurance risk classification, i.e., estimating the expected losses in portfolios of</w:t>
      </w:r>
      <w:r>
        <w:rPr>
          <w:rFonts w:ascii="Times New Roman" w:hAnsi="Times New Roman" w:cs="Times New Roman"/>
          <w:sz w:val="22"/>
          <w:szCs w:val="22"/>
        </w:rPr>
        <w:t xml:space="preserve"> </w:t>
      </w:r>
      <w:r w:rsidRPr="007D11FB">
        <w:rPr>
          <w:rFonts w:ascii="Times New Roman" w:hAnsi="Times New Roman" w:cs="Times New Roman"/>
          <w:sz w:val="22"/>
          <w:szCs w:val="22"/>
        </w:rPr>
        <w:t>different</w:t>
      </w:r>
      <w:r>
        <w:rPr>
          <w:rFonts w:ascii="Times New Roman" w:hAnsi="Times New Roman" w:cs="Times New Roman"/>
          <w:sz w:val="22"/>
          <w:szCs w:val="22"/>
        </w:rPr>
        <w:t xml:space="preserve"> </w:t>
      </w:r>
      <w:r w:rsidRPr="007D11FB">
        <w:rPr>
          <w:rFonts w:ascii="Times New Roman" w:hAnsi="Times New Roman" w:cs="Times New Roman"/>
          <w:sz w:val="22"/>
          <w:szCs w:val="22"/>
        </w:rPr>
        <w:t>risks. In insurance classification, one estimates the extent to which</w:t>
      </w:r>
      <w:r>
        <w:rPr>
          <w:rFonts w:ascii="Times New Roman" w:hAnsi="Times New Roman" w:cs="Times New Roman"/>
          <w:sz w:val="22"/>
          <w:szCs w:val="22"/>
        </w:rPr>
        <w:t xml:space="preserve"> </w:t>
      </w:r>
      <w:r w:rsidRPr="007D11FB">
        <w:rPr>
          <w:rFonts w:ascii="Times New Roman" w:hAnsi="Times New Roman" w:cs="Times New Roman"/>
          <w:sz w:val="22"/>
          <w:szCs w:val="22"/>
        </w:rPr>
        <w:t>different features of the exposures</w:t>
      </w:r>
      <w:r>
        <w:rPr>
          <w:rFonts w:ascii="Times New Roman" w:hAnsi="Times New Roman" w:cs="Times New Roman"/>
          <w:sz w:val="22"/>
          <w:szCs w:val="22"/>
        </w:rPr>
        <w:t xml:space="preserve"> </w:t>
      </w:r>
      <w:r w:rsidRPr="007D11FB">
        <w:rPr>
          <w:rFonts w:ascii="Times New Roman" w:hAnsi="Times New Roman" w:cs="Times New Roman"/>
          <w:sz w:val="22"/>
          <w:szCs w:val="22"/>
        </w:rPr>
        <w:t>(e.g., in auto insurance we look at differences</w:t>
      </w:r>
      <w:r>
        <w:rPr>
          <w:rFonts w:ascii="Times New Roman" w:hAnsi="Times New Roman" w:cs="Times New Roman"/>
          <w:sz w:val="22"/>
          <w:szCs w:val="22"/>
        </w:rPr>
        <w:t xml:space="preserve"> </w:t>
      </w:r>
      <w:r w:rsidRPr="007D11FB">
        <w:rPr>
          <w:rFonts w:ascii="Times New Roman" w:hAnsi="Times New Roman" w:cs="Times New Roman"/>
          <w:sz w:val="22"/>
          <w:szCs w:val="22"/>
        </w:rPr>
        <w:t>in age, gender, type of car, years of accident free driving, etc.) contribute to</w:t>
      </w:r>
      <w:r>
        <w:rPr>
          <w:rFonts w:ascii="Times New Roman" w:hAnsi="Times New Roman" w:cs="Times New Roman"/>
          <w:sz w:val="22"/>
          <w:szCs w:val="22"/>
        </w:rPr>
        <w:t xml:space="preserve"> </w:t>
      </w:r>
      <w:r w:rsidRPr="007D11FB">
        <w:rPr>
          <w:rFonts w:ascii="Times New Roman" w:hAnsi="Times New Roman" w:cs="Times New Roman"/>
          <w:sz w:val="22"/>
          <w:szCs w:val="22"/>
        </w:rPr>
        <w:t>differences in expected losses. This is done usually by a set of standard statistical</w:t>
      </w:r>
      <w:r>
        <w:rPr>
          <w:rFonts w:ascii="Times New Roman" w:hAnsi="Times New Roman" w:cs="Times New Roman"/>
          <w:sz w:val="22"/>
          <w:szCs w:val="22"/>
        </w:rPr>
        <w:t xml:space="preserve"> </w:t>
      </w:r>
      <w:r w:rsidRPr="007D11FB">
        <w:rPr>
          <w:rFonts w:ascii="Times New Roman" w:hAnsi="Times New Roman" w:cs="Times New Roman"/>
          <w:sz w:val="22"/>
          <w:szCs w:val="22"/>
        </w:rPr>
        <w:t>techniques know as multivariate analysis.</w:t>
      </w:r>
      <w:r>
        <w:rPr>
          <w:rFonts w:ascii="Times New Roman" w:hAnsi="Times New Roman" w:cs="Times New Roman"/>
          <w:sz w:val="22"/>
          <w:szCs w:val="22"/>
        </w:rPr>
        <w:t>” (Emphasis added).</w:t>
      </w:r>
    </w:p>
    <w:p w14:paraId="1754A748" w14:textId="77777777" w:rsidR="00434620" w:rsidRDefault="00434620">
      <w:pPr>
        <w:pStyle w:val="EndnoteText"/>
      </w:pPr>
    </w:p>
  </w:endnote>
  <w:endnote w:id="130">
    <w:p w14:paraId="25A22556" w14:textId="77777777" w:rsidR="00434620" w:rsidRDefault="00434620">
      <w:pPr>
        <w:pStyle w:val="EndnoteText"/>
        <w:rPr>
          <w:rFonts w:ascii="Times New Roman" w:hAnsi="Times New Roman" w:cs="Times New Roman"/>
          <w:sz w:val="22"/>
          <w:szCs w:val="22"/>
        </w:rPr>
      </w:pPr>
      <w:r w:rsidRPr="007A230F">
        <w:rPr>
          <w:rStyle w:val="EndnoteReference"/>
          <w:rFonts w:ascii="Times New Roman" w:hAnsi="Times New Roman" w:cs="Times New Roman"/>
          <w:sz w:val="22"/>
          <w:szCs w:val="22"/>
        </w:rPr>
        <w:endnoteRef/>
      </w:r>
      <w:r w:rsidRPr="007A230F">
        <w:rPr>
          <w:rFonts w:ascii="Times New Roman" w:hAnsi="Times New Roman" w:cs="Times New Roman"/>
          <w:sz w:val="22"/>
          <w:szCs w:val="22"/>
        </w:rPr>
        <w:t xml:space="preserve"> </w:t>
      </w:r>
      <w:r w:rsidRPr="00045292">
        <w:rPr>
          <w:rFonts w:ascii="Times New Roman" w:hAnsi="Times New Roman" w:cs="Times New Roman"/>
          <w:i/>
          <w:sz w:val="22"/>
          <w:szCs w:val="22"/>
        </w:rPr>
        <w:t>See</w:t>
      </w:r>
      <w:r w:rsidRPr="004F2D5E">
        <w:rPr>
          <w:rFonts w:ascii="Times New Roman" w:hAnsi="Times New Roman" w:cs="Times New Roman"/>
          <w:sz w:val="22"/>
          <w:szCs w:val="22"/>
        </w:rPr>
        <w:t xml:space="preserve"> </w:t>
      </w:r>
      <w:r w:rsidRPr="006A24CC">
        <w:rPr>
          <w:rFonts w:ascii="Times New Roman" w:hAnsi="Times New Roman" w:cs="Times New Roman"/>
          <w:i/>
          <w:sz w:val="22"/>
          <w:szCs w:val="22"/>
        </w:rPr>
        <w:t>Reserve</w:t>
      </w:r>
      <w:r>
        <w:rPr>
          <w:rFonts w:ascii="Times New Roman" w:hAnsi="Times New Roman" w:cs="Times New Roman"/>
          <w:sz w:val="22"/>
          <w:szCs w:val="22"/>
        </w:rPr>
        <w:t xml:space="preserve"> </w:t>
      </w:r>
      <w:r w:rsidRPr="004F2D5E">
        <w:rPr>
          <w:rFonts w:ascii="Times New Roman" w:hAnsi="Times New Roman" w:cs="Times New Roman"/>
          <w:sz w:val="22"/>
          <w:szCs w:val="22"/>
        </w:rPr>
        <w:t>at page</w:t>
      </w:r>
      <w:r>
        <w:rPr>
          <w:rFonts w:ascii="Times New Roman" w:hAnsi="Times New Roman" w:cs="Times New Roman"/>
          <w:sz w:val="22"/>
          <w:szCs w:val="22"/>
        </w:rPr>
        <w:t>s</w:t>
      </w:r>
      <w:r w:rsidRPr="004F2D5E">
        <w:rPr>
          <w:rFonts w:ascii="Times New Roman" w:hAnsi="Times New Roman" w:cs="Times New Roman"/>
          <w:sz w:val="22"/>
          <w:szCs w:val="22"/>
        </w:rPr>
        <w:t xml:space="preserve"> </w:t>
      </w:r>
      <w:r>
        <w:rPr>
          <w:rFonts w:ascii="Times New Roman" w:hAnsi="Times New Roman" w:cs="Times New Roman"/>
          <w:sz w:val="22"/>
          <w:szCs w:val="22"/>
        </w:rPr>
        <w:t>51-52</w:t>
      </w:r>
      <w:r w:rsidRPr="004F2D5E">
        <w:rPr>
          <w:rFonts w:ascii="Times New Roman" w:hAnsi="Times New Roman" w:cs="Times New Roman"/>
          <w:sz w:val="22"/>
          <w:szCs w:val="22"/>
        </w:rPr>
        <w:t>.</w:t>
      </w:r>
    </w:p>
    <w:p w14:paraId="587F2636" w14:textId="77777777" w:rsidR="00434620" w:rsidRPr="00EF6E47" w:rsidRDefault="00434620">
      <w:pPr>
        <w:pStyle w:val="EndnoteText"/>
        <w:rPr>
          <w:rFonts w:ascii="Times New Roman" w:hAnsi="Times New Roman" w:cs="Times New Roman"/>
          <w:sz w:val="22"/>
          <w:szCs w:val="22"/>
        </w:rPr>
      </w:pPr>
    </w:p>
  </w:endnote>
  <w:endnote w:id="131">
    <w:p w14:paraId="20E9DAE2" w14:textId="77777777" w:rsidR="00434620" w:rsidRDefault="00434620">
      <w:pPr>
        <w:pStyle w:val="EndnoteText"/>
        <w:rPr>
          <w:rFonts w:ascii="Times New Roman" w:hAnsi="Times New Roman" w:cs="Times New Roman"/>
          <w:sz w:val="22"/>
          <w:szCs w:val="22"/>
        </w:rPr>
      </w:pPr>
      <w:r w:rsidRPr="00EF6E47">
        <w:rPr>
          <w:rStyle w:val="EndnoteReference"/>
          <w:rFonts w:ascii="Times New Roman" w:hAnsi="Times New Roman" w:cs="Times New Roman"/>
          <w:sz w:val="22"/>
          <w:szCs w:val="22"/>
        </w:rPr>
        <w:endnoteRef/>
      </w:r>
      <w:r w:rsidRPr="00EF6E47">
        <w:rPr>
          <w:rFonts w:ascii="Times New Roman" w:hAnsi="Times New Roman" w:cs="Times New Roman"/>
          <w:sz w:val="22"/>
          <w:szCs w:val="22"/>
        </w:rPr>
        <w:t xml:space="preserve"> </w:t>
      </w:r>
      <w:r w:rsidRPr="00045292">
        <w:rPr>
          <w:rFonts w:ascii="Times New Roman" w:hAnsi="Times New Roman" w:cs="Times New Roman"/>
          <w:i/>
          <w:sz w:val="22"/>
          <w:szCs w:val="22"/>
        </w:rPr>
        <w:t>See</w:t>
      </w:r>
      <w:r w:rsidRPr="00EF6E47">
        <w:rPr>
          <w:rFonts w:ascii="Times New Roman" w:hAnsi="Times New Roman" w:cs="Times New Roman"/>
          <w:sz w:val="22"/>
          <w:szCs w:val="22"/>
        </w:rPr>
        <w:t xml:space="preserve"> </w:t>
      </w:r>
      <w:r w:rsidRPr="006A24CC">
        <w:rPr>
          <w:rFonts w:ascii="Times New Roman" w:hAnsi="Times New Roman" w:cs="Times New Roman"/>
          <w:i/>
          <w:sz w:val="22"/>
          <w:szCs w:val="22"/>
        </w:rPr>
        <w:t>Reserve</w:t>
      </w:r>
      <w:r>
        <w:rPr>
          <w:rFonts w:ascii="Times New Roman" w:hAnsi="Times New Roman" w:cs="Times New Roman"/>
          <w:sz w:val="22"/>
          <w:szCs w:val="22"/>
        </w:rPr>
        <w:t xml:space="preserve"> </w:t>
      </w:r>
      <w:r w:rsidRPr="00EF6E47">
        <w:rPr>
          <w:rFonts w:ascii="Times New Roman" w:hAnsi="Times New Roman" w:cs="Times New Roman"/>
          <w:sz w:val="22"/>
          <w:szCs w:val="22"/>
        </w:rPr>
        <w:t>at page 5</w:t>
      </w:r>
      <w:r>
        <w:rPr>
          <w:rFonts w:ascii="Times New Roman" w:hAnsi="Times New Roman" w:cs="Times New Roman"/>
          <w:sz w:val="22"/>
          <w:szCs w:val="22"/>
        </w:rPr>
        <w:t>3.</w:t>
      </w:r>
    </w:p>
    <w:p w14:paraId="467ECDD8" w14:textId="77777777" w:rsidR="00434620" w:rsidRPr="009631EC" w:rsidRDefault="00434620">
      <w:pPr>
        <w:pStyle w:val="EndnoteText"/>
        <w:rPr>
          <w:rFonts w:ascii="Times New Roman" w:hAnsi="Times New Roman" w:cs="Times New Roman"/>
          <w:sz w:val="22"/>
          <w:szCs w:val="22"/>
        </w:rPr>
      </w:pPr>
    </w:p>
  </w:endnote>
  <w:endnote w:id="132">
    <w:p w14:paraId="09ABA4B9" w14:textId="4C0FE012" w:rsidR="00434620" w:rsidRPr="009631EC" w:rsidRDefault="00434620" w:rsidP="008C271D">
      <w:pPr>
        <w:pStyle w:val="EndnoteText"/>
        <w:rPr>
          <w:rFonts w:ascii="Times New Roman" w:hAnsi="Times New Roman" w:cs="Times New Roman"/>
          <w:sz w:val="22"/>
          <w:szCs w:val="22"/>
        </w:rPr>
      </w:pPr>
      <w:r w:rsidRPr="009631EC">
        <w:rPr>
          <w:rStyle w:val="EndnoteReference"/>
          <w:rFonts w:ascii="Times New Roman" w:hAnsi="Times New Roman" w:cs="Times New Roman"/>
          <w:sz w:val="22"/>
          <w:szCs w:val="22"/>
        </w:rPr>
        <w:endnoteRef/>
      </w:r>
      <w:r w:rsidRPr="009631EC">
        <w:rPr>
          <w:rFonts w:ascii="Times New Roman" w:hAnsi="Times New Roman" w:cs="Times New Roman"/>
          <w:sz w:val="22"/>
          <w:szCs w:val="22"/>
        </w:rPr>
        <w:t xml:space="preserve"> </w:t>
      </w:r>
      <w:r w:rsidRPr="00045292">
        <w:rPr>
          <w:rFonts w:ascii="Times New Roman" w:hAnsi="Times New Roman" w:cs="Times New Roman"/>
          <w:i/>
          <w:sz w:val="22"/>
          <w:szCs w:val="22"/>
        </w:rPr>
        <w:t>See</w:t>
      </w:r>
      <w:r w:rsidRPr="00A9366C">
        <w:rPr>
          <w:rFonts w:ascii="Times New Roman" w:hAnsi="Times New Roman" w:cs="Times New Roman"/>
          <w:sz w:val="22"/>
          <w:szCs w:val="22"/>
        </w:rPr>
        <w:t xml:space="preserve"> testimony of Stewart Feldman</w:t>
      </w:r>
      <w:r>
        <w:rPr>
          <w:rFonts w:ascii="Times New Roman" w:hAnsi="Times New Roman" w:cs="Times New Roman"/>
          <w:sz w:val="22"/>
          <w:szCs w:val="22"/>
        </w:rPr>
        <w:t>, Tr.</w:t>
      </w:r>
      <w:r w:rsidRPr="00A9366C">
        <w:rPr>
          <w:rFonts w:ascii="Times New Roman" w:hAnsi="Times New Roman" w:cs="Times New Roman"/>
          <w:sz w:val="22"/>
          <w:szCs w:val="22"/>
        </w:rPr>
        <w:t xml:space="preserve"> at </w:t>
      </w:r>
      <w:r>
        <w:rPr>
          <w:rFonts w:ascii="Times New Roman" w:hAnsi="Times New Roman" w:cs="Times New Roman"/>
          <w:sz w:val="22"/>
          <w:szCs w:val="22"/>
        </w:rPr>
        <w:t>615.  In describing the business of Capstone, Mr. Feldman testified that the second of two “lines of business” that Capstone is involved in is “</w:t>
      </w:r>
      <w:r w:rsidRPr="00A775B1">
        <w:rPr>
          <w:rFonts w:ascii="Times New Roman" w:hAnsi="Times New Roman" w:cs="Times New Roman"/>
          <w:sz w:val="22"/>
          <w:szCs w:val="22"/>
        </w:rPr>
        <w:t>administering alternative risk funding</w:t>
      </w:r>
      <w:r>
        <w:rPr>
          <w:rFonts w:ascii="Times New Roman" w:hAnsi="Times New Roman" w:cs="Times New Roman"/>
          <w:sz w:val="22"/>
          <w:szCs w:val="22"/>
        </w:rPr>
        <w:t xml:space="preserve"> </w:t>
      </w:r>
      <w:r w:rsidRPr="00A775B1">
        <w:rPr>
          <w:rFonts w:ascii="Times New Roman" w:hAnsi="Times New Roman" w:cs="Times New Roman"/>
          <w:sz w:val="22"/>
          <w:szCs w:val="22"/>
        </w:rPr>
        <w:t>programs or alternative risk transfer programs or</w:t>
      </w:r>
      <w:r>
        <w:rPr>
          <w:rFonts w:ascii="Times New Roman" w:hAnsi="Times New Roman" w:cs="Times New Roman"/>
          <w:sz w:val="22"/>
          <w:szCs w:val="22"/>
        </w:rPr>
        <w:t xml:space="preserve">... </w:t>
      </w:r>
      <w:r w:rsidRPr="00A775B1">
        <w:rPr>
          <w:rFonts w:ascii="Times New Roman" w:hAnsi="Times New Roman" w:cs="Times New Roman"/>
          <w:sz w:val="22"/>
          <w:szCs w:val="22"/>
        </w:rPr>
        <w:t>administering</w:t>
      </w:r>
      <w:r>
        <w:rPr>
          <w:rFonts w:ascii="Times New Roman" w:hAnsi="Times New Roman" w:cs="Times New Roman"/>
          <w:sz w:val="22"/>
          <w:szCs w:val="22"/>
        </w:rPr>
        <w:t xml:space="preserve"> </w:t>
      </w:r>
      <w:r w:rsidRPr="00A775B1">
        <w:rPr>
          <w:rFonts w:ascii="Times New Roman" w:hAnsi="Times New Roman" w:cs="Times New Roman"/>
          <w:sz w:val="22"/>
          <w:szCs w:val="22"/>
        </w:rPr>
        <w:t>captive insurance arrangements.</w:t>
      </w:r>
      <w:r>
        <w:rPr>
          <w:rFonts w:ascii="Times New Roman" w:hAnsi="Times New Roman" w:cs="Times New Roman"/>
          <w:sz w:val="22"/>
          <w:szCs w:val="22"/>
        </w:rPr>
        <w:t xml:space="preserve">”  </w:t>
      </w:r>
      <w:r w:rsidRPr="00045292">
        <w:rPr>
          <w:rFonts w:ascii="Times New Roman" w:hAnsi="Times New Roman" w:cs="Times New Roman"/>
          <w:i/>
          <w:sz w:val="22"/>
          <w:szCs w:val="22"/>
        </w:rPr>
        <w:t>See also</w:t>
      </w:r>
      <w:r>
        <w:rPr>
          <w:rFonts w:ascii="Times New Roman" w:hAnsi="Times New Roman" w:cs="Times New Roman"/>
          <w:sz w:val="22"/>
          <w:szCs w:val="22"/>
        </w:rPr>
        <w:t xml:space="preserve"> Tr. at 636-637, where Mr. Feldman testified that Capstone’s “</w:t>
      </w:r>
      <w:r w:rsidRPr="00FF3FBC">
        <w:rPr>
          <w:rFonts w:ascii="Times New Roman" w:hAnsi="Times New Roman" w:cs="Times New Roman"/>
          <w:sz w:val="22"/>
          <w:szCs w:val="22"/>
        </w:rPr>
        <w:t xml:space="preserve">insurance department </w:t>
      </w:r>
      <w:r>
        <w:rPr>
          <w:rFonts w:ascii="Times New Roman" w:hAnsi="Times New Roman" w:cs="Times New Roman"/>
          <w:sz w:val="22"/>
          <w:szCs w:val="22"/>
        </w:rPr>
        <w:t>“</w:t>
      </w:r>
      <w:r w:rsidRPr="00FF3FBC">
        <w:rPr>
          <w:rFonts w:ascii="Times New Roman" w:hAnsi="Times New Roman" w:cs="Times New Roman"/>
          <w:sz w:val="22"/>
          <w:szCs w:val="22"/>
        </w:rPr>
        <w:t>handles the binding</w:t>
      </w:r>
      <w:r>
        <w:rPr>
          <w:rFonts w:ascii="Times New Roman" w:hAnsi="Times New Roman" w:cs="Times New Roman"/>
          <w:sz w:val="22"/>
          <w:szCs w:val="22"/>
        </w:rPr>
        <w:t xml:space="preserve"> </w:t>
      </w:r>
      <w:r w:rsidRPr="00FF3FBC">
        <w:rPr>
          <w:rFonts w:ascii="Times New Roman" w:hAnsi="Times New Roman" w:cs="Times New Roman"/>
          <w:sz w:val="22"/>
          <w:szCs w:val="22"/>
        </w:rPr>
        <w:t xml:space="preserve">of policies, the preparation of </w:t>
      </w:r>
      <w:r>
        <w:rPr>
          <w:rFonts w:ascii="Times New Roman" w:hAnsi="Times New Roman" w:cs="Times New Roman"/>
          <w:sz w:val="22"/>
          <w:szCs w:val="22"/>
        </w:rPr>
        <w:t>[</w:t>
      </w:r>
      <w:r w:rsidRPr="00FF3FBC">
        <w:rPr>
          <w:rFonts w:ascii="Times New Roman" w:hAnsi="Times New Roman" w:cs="Times New Roman"/>
          <w:sz w:val="22"/>
          <w:szCs w:val="22"/>
        </w:rPr>
        <w:t>the</w:t>
      </w:r>
      <w:r>
        <w:rPr>
          <w:rFonts w:ascii="Times New Roman" w:hAnsi="Times New Roman" w:cs="Times New Roman"/>
          <w:sz w:val="22"/>
          <w:szCs w:val="22"/>
        </w:rPr>
        <w:t xml:space="preserve"> </w:t>
      </w:r>
      <w:r w:rsidRPr="00FF3FBC">
        <w:rPr>
          <w:rFonts w:ascii="Times New Roman" w:hAnsi="Times New Roman" w:cs="Times New Roman"/>
          <w:sz w:val="22"/>
          <w:szCs w:val="22"/>
        </w:rPr>
        <w:t>declaration pages in the policies, on-site</w:t>
      </w:r>
      <w:r>
        <w:rPr>
          <w:rFonts w:ascii="Times New Roman" w:hAnsi="Times New Roman" w:cs="Times New Roman"/>
          <w:sz w:val="22"/>
          <w:szCs w:val="22"/>
        </w:rPr>
        <w:t xml:space="preserve"> </w:t>
      </w:r>
      <w:r w:rsidRPr="00FC78AB">
        <w:rPr>
          <w:rFonts w:ascii="Times New Roman" w:hAnsi="Times New Roman" w:cs="Times New Roman"/>
          <w:sz w:val="22"/>
          <w:szCs w:val="22"/>
        </w:rPr>
        <w:t xml:space="preserve">feasibility studies from the insurance side. The </w:t>
      </w:r>
      <w:r>
        <w:rPr>
          <w:rFonts w:ascii="Times New Roman" w:hAnsi="Times New Roman" w:cs="Times New Roman"/>
          <w:sz w:val="22"/>
          <w:szCs w:val="22"/>
        </w:rPr>
        <w:t xml:space="preserve">[Feldman </w:t>
      </w:r>
      <w:r w:rsidRPr="00FC78AB">
        <w:rPr>
          <w:rFonts w:ascii="Times New Roman" w:hAnsi="Times New Roman" w:cs="Times New Roman"/>
          <w:sz w:val="22"/>
          <w:szCs w:val="22"/>
        </w:rPr>
        <w:t>law</w:t>
      </w:r>
      <w:r>
        <w:rPr>
          <w:rFonts w:ascii="Times New Roman" w:hAnsi="Times New Roman" w:cs="Times New Roman"/>
          <w:sz w:val="22"/>
          <w:szCs w:val="22"/>
        </w:rPr>
        <w:t xml:space="preserve"> </w:t>
      </w:r>
      <w:r w:rsidRPr="00FC78AB">
        <w:rPr>
          <w:rFonts w:ascii="Times New Roman" w:hAnsi="Times New Roman" w:cs="Times New Roman"/>
          <w:sz w:val="22"/>
          <w:szCs w:val="22"/>
        </w:rPr>
        <w:t>firm</w:t>
      </w:r>
      <w:r>
        <w:rPr>
          <w:rFonts w:ascii="Times New Roman" w:hAnsi="Times New Roman" w:cs="Times New Roman"/>
          <w:sz w:val="22"/>
          <w:szCs w:val="22"/>
        </w:rPr>
        <w:t>]</w:t>
      </w:r>
      <w:r w:rsidRPr="00FC78AB">
        <w:rPr>
          <w:rFonts w:ascii="Times New Roman" w:hAnsi="Times New Roman" w:cs="Times New Roman"/>
          <w:sz w:val="22"/>
          <w:szCs w:val="22"/>
        </w:rPr>
        <w:t xml:space="preserve"> also joins in on that, coordinating with the</w:t>
      </w:r>
      <w:r>
        <w:rPr>
          <w:rFonts w:ascii="Times New Roman" w:hAnsi="Times New Roman" w:cs="Times New Roman"/>
          <w:sz w:val="22"/>
          <w:szCs w:val="22"/>
        </w:rPr>
        <w:t xml:space="preserve"> </w:t>
      </w:r>
      <w:r w:rsidRPr="00FC78AB">
        <w:rPr>
          <w:rFonts w:ascii="Times New Roman" w:hAnsi="Times New Roman" w:cs="Times New Roman"/>
          <w:sz w:val="22"/>
          <w:szCs w:val="22"/>
        </w:rPr>
        <w:t xml:space="preserve">outside actuaries, underwriters, consultants, </w:t>
      </w:r>
      <w:r>
        <w:rPr>
          <w:rFonts w:ascii="Times New Roman" w:hAnsi="Times New Roman" w:cs="Times New Roman"/>
          <w:sz w:val="22"/>
          <w:szCs w:val="22"/>
        </w:rPr>
        <w:t xml:space="preserve">[and] </w:t>
      </w:r>
      <w:r w:rsidRPr="00FC78AB">
        <w:rPr>
          <w:rFonts w:ascii="Times New Roman" w:hAnsi="Times New Roman" w:cs="Times New Roman"/>
          <w:sz w:val="22"/>
          <w:szCs w:val="22"/>
        </w:rPr>
        <w:t>risk</w:t>
      </w:r>
      <w:r>
        <w:rPr>
          <w:rFonts w:ascii="Times New Roman" w:hAnsi="Times New Roman" w:cs="Times New Roman"/>
          <w:sz w:val="22"/>
          <w:szCs w:val="22"/>
        </w:rPr>
        <w:t xml:space="preserve"> </w:t>
      </w:r>
      <w:r w:rsidRPr="00FC78AB">
        <w:rPr>
          <w:rFonts w:ascii="Times New Roman" w:hAnsi="Times New Roman" w:cs="Times New Roman"/>
          <w:sz w:val="22"/>
          <w:szCs w:val="22"/>
        </w:rPr>
        <w:t>managers</w:t>
      </w:r>
      <w:r>
        <w:rPr>
          <w:rFonts w:ascii="Times New Roman" w:hAnsi="Times New Roman" w:cs="Times New Roman"/>
          <w:sz w:val="22"/>
          <w:szCs w:val="22"/>
        </w:rPr>
        <w:t xml:space="preserve"> and [provides services to assist in handling] </w:t>
      </w:r>
      <w:r w:rsidRPr="00FC78AB">
        <w:rPr>
          <w:rFonts w:ascii="Times New Roman" w:hAnsi="Times New Roman" w:cs="Times New Roman"/>
          <w:sz w:val="22"/>
          <w:szCs w:val="22"/>
        </w:rPr>
        <w:t>claims payment, claims</w:t>
      </w:r>
      <w:r>
        <w:rPr>
          <w:rFonts w:ascii="Times New Roman" w:hAnsi="Times New Roman" w:cs="Times New Roman"/>
          <w:sz w:val="22"/>
          <w:szCs w:val="22"/>
        </w:rPr>
        <w:t xml:space="preserve"> </w:t>
      </w:r>
      <w:r w:rsidRPr="00FC78AB">
        <w:rPr>
          <w:rFonts w:ascii="Times New Roman" w:hAnsi="Times New Roman" w:cs="Times New Roman"/>
          <w:sz w:val="22"/>
          <w:szCs w:val="22"/>
        </w:rPr>
        <w:t>handling, claims adjusting, designing coverages with</w:t>
      </w:r>
      <w:r>
        <w:rPr>
          <w:rFonts w:ascii="Times New Roman" w:hAnsi="Times New Roman" w:cs="Times New Roman"/>
          <w:sz w:val="22"/>
          <w:szCs w:val="22"/>
        </w:rPr>
        <w:t xml:space="preserve"> </w:t>
      </w:r>
      <w:r w:rsidRPr="00FC78AB">
        <w:rPr>
          <w:rFonts w:ascii="Times New Roman" w:hAnsi="Times New Roman" w:cs="Times New Roman"/>
          <w:sz w:val="22"/>
          <w:szCs w:val="22"/>
        </w:rPr>
        <w:t>the lawyers, and providing input, of course, to th</w:t>
      </w:r>
      <w:r>
        <w:rPr>
          <w:rFonts w:ascii="Times New Roman" w:hAnsi="Times New Roman" w:cs="Times New Roman"/>
          <w:sz w:val="22"/>
          <w:szCs w:val="22"/>
        </w:rPr>
        <w:t xml:space="preserve">e </w:t>
      </w:r>
      <w:r w:rsidRPr="00FC78AB">
        <w:rPr>
          <w:rFonts w:ascii="Times New Roman" w:hAnsi="Times New Roman" w:cs="Times New Roman"/>
          <w:sz w:val="22"/>
          <w:szCs w:val="22"/>
        </w:rPr>
        <w:t>accounting department on reserves that need to be</w:t>
      </w:r>
      <w:r>
        <w:rPr>
          <w:rFonts w:ascii="Times New Roman" w:hAnsi="Times New Roman" w:cs="Times New Roman"/>
          <w:sz w:val="22"/>
          <w:szCs w:val="22"/>
        </w:rPr>
        <w:t xml:space="preserve"> </w:t>
      </w:r>
      <w:r w:rsidRPr="00FC78AB">
        <w:rPr>
          <w:rFonts w:ascii="Times New Roman" w:hAnsi="Times New Roman" w:cs="Times New Roman"/>
          <w:sz w:val="22"/>
          <w:szCs w:val="22"/>
        </w:rPr>
        <w:t>booked for the captive.</w:t>
      </w:r>
      <w:r>
        <w:rPr>
          <w:rFonts w:ascii="Times New Roman" w:hAnsi="Times New Roman" w:cs="Times New Roman"/>
          <w:sz w:val="22"/>
          <w:szCs w:val="22"/>
        </w:rPr>
        <w:t xml:space="preserve">”  </w:t>
      </w:r>
      <w:r w:rsidRPr="00045292">
        <w:rPr>
          <w:rFonts w:ascii="Times New Roman" w:hAnsi="Times New Roman" w:cs="Times New Roman"/>
          <w:i/>
          <w:sz w:val="22"/>
          <w:szCs w:val="22"/>
        </w:rPr>
        <w:t>See also</w:t>
      </w:r>
      <w:r>
        <w:rPr>
          <w:rFonts w:ascii="Times New Roman" w:hAnsi="Times New Roman" w:cs="Times New Roman"/>
          <w:sz w:val="22"/>
          <w:szCs w:val="22"/>
        </w:rPr>
        <w:t xml:space="preserve"> Tr. at 637, where Mr. Feldman testified that Capstone is also responsible for providing services with regard to “premium pricing” for captives, which was handled by Mr. McNeel for the three years at issue in </w:t>
      </w:r>
      <w:r w:rsidRPr="004F5901">
        <w:rPr>
          <w:rFonts w:ascii="Times New Roman" w:hAnsi="Times New Roman" w:cs="Times New Roman"/>
          <w:i/>
          <w:sz w:val="22"/>
          <w:szCs w:val="22"/>
        </w:rPr>
        <w:t>Reserve</w:t>
      </w:r>
      <w:r>
        <w:rPr>
          <w:rFonts w:ascii="Times New Roman" w:hAnsi="Times New Roman" w:cs="Times New Roman"/>
          <w:sz w:val="22"/>
          <w:szCs w:val="22"/>
        </w:rPr>
        <w:t xml:space="preserve"> (2008 – 2010).  Mr. Feldman further testified that Mr. McNeel “worked with </w:t>
      </w:r>
      <w:r w:rsidRPr="008C271D">
        <w:rPr>
          <w:rFonts w:ascii="Times New Roman" w:hAnsi="Times New Roman" w:cs="Times New Roman"/>
          <w:sz w:val="22"/>
          <w:szCs w:val="22"/>
        </w:rPr>
        <w:t>a team of actuaries and</w:t>
      </w:r>
      <w:r>
        <w:rPr>
          <w:rFonts w:ascii="Times New Roman" w:hAnsi="Times New Roman" w:cs="Times New Roman"/>
          <w:sz w:val="22"/>
          <w:szCs w:val="22"/>
        </w:rPr>
        <w:t xml:space="preserve"> </w:t>
      </w:r>
      <w:r w:rsidRPr="008C271D">
        <w:rPr>
          <w:rFonts w:ascii="Times New Roman" w:hAnsi="Times New Roman" w:cs="Times New Roman"/>
          <w:sz w:val="22"/>
          <w:szCs w:val="22"/>
        </w:rPr>
        <w:t>underwriters and lots of people providing input to</w:t>
      </w:r>
      <w:r>
        <w:rPr>
          <w:rFonts w:ascii="Times New Roman" w:hAnsi="Times New Roman" w:cs="Times New Roman"/>
          <w:sz w:val="22"/>
          <w:szCs w:val="22"/>
        </w:rPr>
        <w:t xml:space="preserve"> </w:t>
      </w:r>
      <w:r w:rsidRPr="008C271D">
        <w:rPr>
          <w:rFonts w:ascii="Times New Roman" w:hAnsi="Times New Roman" w:cs="Times New Roman"/>
          <w:sz w:val="22"/>
          <w:szCs w:val="22"/>
        </w:rPr>
        <w:t>him</w:t>
      </w:r>
      <w:r>
        <w:rPr>
          <w:rFonts w:ascii="Times New Roman" w:hAnsi="Times New Roman" w:cs="Times New Roman"/>
          <w:sz w:val="22"/>
          <w:szCs w:val="22"/>
        </w:rPr>
        <w:t>” and, in referencing the services provided to a captive by Capstone, Mr. Feldman testified that “</w:t>
      </w:r>
      <w:r w:rsidRPr="007228D2">
        <w:rPr>
          <w:rFonts w:ascii="Times New Roman" w:hAnsi="Times New Roman" w:cs="Times New Roman"/>
          <w:b/>
          <w:sz w:val="22"/>
          <w:szCs w:val="22"/>
        </w:rPr>
        <w:t>[U]</w:t>
      </w:r>
      <w:r w:rsidRPr="00C01393">
        <w:rPr>
          <w:rFonts w:ascii="Times New Roman" w:hAnsi="Times New Roman" w:cs="Times New Roman"/>
          <w:b/>
          <w:sz w:val="22"/>
          <w:szCs w:val="22"/>
        </w:rPr>
        <w:t>ltimately it</w:t>
      </w:r>
      <w:r>
        <w:rPr>
          <w:rFonts w:ascii="Times New Roman" w:hAnsi="Times New Roman" w:cs="Times New Roman"/>
          <w:b/>
          <w:sz w:val="22"/>
          <w:szCs w:val="22"/>
        </w:rPr>
        <w:t>’</w:t>
      </w:r>
      <w:r w:rsidRPr="00C01393">
        <w:rPr>
          <w:rFonts w:ascii="Times New Roman" w:hAnsi="Times New Roman" w:cs="Times New Roman"/>
          <w:b/>
          <w:sz w:val="22"/>
          <w:szCs w:val="22"/>
        </w:rPr>
        <w:t>s the client</w:t>
      </w:r>
      <w:r>
        <w:rPr>
          <w:rFonts w:ascii="Times New Roman" w:hAnsi="Times New Roman" w:cs="Times New Roman"/>
          <w:b/>
          <w:sz w:val="22"/>
          <w:szCs w:val="22"/>
        </w:rPr>
        <w:t>’</w:t>
      </w:r>
      <w:r w:rsidRPr="00C01393">
        <w:rPr>
          <w:rFonts w:ascii="Times New Roman" w:hAnsi="Times New Roman" w:cs="Times New Roman"/>
          <w:b/>
          <w:sz w:val="22"/>
          <w:szCs w:val="22"/>
        </w:rPr>
        <w:t>s decision. We</w:t>
      </w:r>
      <w:r>
        <w:rPr>
          <w:rFonts w:ascii="Times New Roman" w:hAnsi="Times New Roman" w:cs="Times New Roman"/>
          <w:b/>
          <w:sz w:val="22"/>
          <w:szCs w:val="22"/>
        </w:rPr>
        <w:t>’</w:t>
      </w:r>
      <w:r w:rsidRPr="00C01393">
        <w:rPr>
          <w:rFonts w:ascii="Times New Roman" w:hAnsi="Times New Roman" w:cs="Times New Roman"/>
          <w:b/>
          <w:sz w:val="22"/>
          <w:szCs w:val="22"/>
        </w:rPr>
        <w:t xml:space="preserve">re not </w:t>
      </w:r>
      <w:r>
        <w:rPr>
          <w:rFonts w:ascii="Times New Roman" w:hAnsi="Times New Roman" w:cs="Times New Roman"/>
          <w:b/>
          <w:sz w:val="22"/>
          <w:szCs w:val="22"/>
        </w:rPr>
        <w:t>–</w:t>
      </w:r>
      <w:r w:rsidRPr="00C01393">
        <w:rPr>
          <w:rFonts w:ascii="Times New Roman" w:hAnsi="Times New Roman" w:cs="Times New Roman"/>
          <w:b/>
          <w:sz w:val="22"/>
          <w:szCs w:val="22"/>
        </w:rPr>
        <w:t xml:space="preserve"> it</w:t>
      </w:r>
      <w:r>
        <w:rPr>
          <w:rFonts w:ascii="Times New Roman" w:hAnsi="Times New Roman" w:cs="Times New Roman"/>
          <w:b/>
          <w:sz w:val="22"/>
          <w:szCs w:val="22"/>
        </w:rPr>
        <w:t>’</w:t>
      </w:r>
      <w:r w:rsidRPr="00C01393">
        <w:rPr>
          <w:rFonts w:ascii="Times New Roman" w:hAnsi="Times New Roman" w:cs="Times New Roman"/>
          <w:b/>
          <w:sz w:val="22"/>
          <w:szCs w:val="22"/>
        </w:rPr>
        <w:t>s not our company. We</w:t>
      </w:r>
      <w:r>
        <w:rPr>
          <w:rFonts w:ascii="Times New Roman" w:hAnsi="Times New Roman" w:cs="Times New Roman"/>
          <w:b/>
          <w:sz w:val="22"/>
          <w:szCs w:val="22"/>
        </w:rPr>
        <w:t>’</w:t>
      </w:r>
      <w:r w:rsidRPr="00C01393">
        <w:rPr>
          <w:rFonts w:ascii="Times New Roman" w:hAnsi="Times New Roman" w:cs="Times New Roman"/>
          <w:b/>
          <w:sz w:val="22"/>
          <w:szCs w:val="22"/>
        </w:rPr>
        <w:t>re the advisors</w:t>
      </w:r>
      <w:r w:rsidRPr="008C271D">
        <w:rPr>
          <w:rFonts w:ascii="Times New Roman" w:hAnsi="Times New Roman" w:cs="Times New Roman"/>
          <w:sz w:val="22"/>
          <w:szCs w:val="22"/>
        </w:rPr>
        <w:t>.</w:t>
      </w:r>
      <w:r>
        <w:rPr>
          <w:rFonts w:ascii="Times New Roman" w:hAnsi="Times New Roman" w:cs="Times New Roman"/>
          <w:sz w:val="22"/>
          <w:szCs w:val="22"/>
        </w:rPr>
        <w:t xml:space="preserve">”  (Emphasis added).  As this testimony makes clear, Capstone does not have the authority to make any decisions on behalf of a captive and only acted in its capacity as an advisor to Reserve’s </w:t>
      </w:r>
      <w:r w:rsidRPr="00243483">
        <w:rPr>
          <w:rFonts w:ascii="Times New Roman" w:hAnsi="Times New Roman" w:cs="Times New Roman"/>
          <w:sz w:val="22"/>
          <w:szCs w:val="22"/>
        </w:rPr>
        <w:t>management and board of directors</w:t>
      </w:r>
      <w:r>
        <w:rPr>
          <w:rFonts w:ascii="Times New Roman" w:hAnsi="Times New Roman" w:cs="Times New Roman"/>
          <w:sz w:val="22"/>
          <w:szCs w:val="22"/>
        </w:rPr>
        <w:t>.</w:t>
      </w:r>
    </w:p>
    <w:p w14:paraId="18DB0B1A" w14:textId="77777777" w:rsidR="00434620" w:rsidRPr="009631EC" w:rsidRDefault="00434620">
      <w:pPr>
        <w:pStyle w:val="EndnoteText"/>
        <w:rPr>
          <w:rFonts w:ascii="Times New Roman" w:hAnsi="Times New Roman" w:cs="Times New Roman"/>
          <w:sz w:val="22"/>
          <w:szCs w:val="22"/>
        </w:rPr>
      </w:pPr>
    </w:p>
  </w:endnote>
  <w:endnote w:id="133">
    <w:p w14:paraId="26459946" w14:textId="24246220" w:rsidR="00434620" w:rsidRPr="00E31B85" w:rsidRDefault="00434620">
      <w:pPr>
        <w:pStyle w:val="EndnoteText"/>
        <w:rPr>
          <w:rFonts w:ascii="Times New Roman" w:hAnsi="Times New Roman" w:cs="Times New Roman"/>
          <w:sz w:val="22"/>
          <w:szCs w:val="22"/>
        </w:rPr>
      </w:pPr>
      <w:r w:rsidRPr="00E31B85">
        <w:rPr>
          <w:rStyle w:val="EndnoteReference"/>
          <w:rFonts w:ascii="Times New Roman" w:hAnsi="Times New Roman" w:cs="Times New Roman"/>
          <w:sz w:val="22"/>
          <w:szCs w:val="22"/>
        </w:rPr>
        <w:endnoteRef/>
      </w:r>
      <w:r w:rsidRPr="00E31B85">
        <w:rPr>
          <w:rFonts w:ascii="Times New Roman" w:hAnsi="Times New Roman" w:cs="Times New Roman"/>
          <w:sz w:val="22"/>
          <w:szCs w:val="22"/>
        </w:rPr>
        <w:t xml:space="preserve"> </w:t>
      </w:r>
      <w:r>
        <w:rPr>
          <w:rFonts w:ascii="Times New Roman" w:hAnsi="Times New Roman" w:cs="Times New Roman"/>
          <w:sz w:val="22"/>
          <w:szCs w:val="22"/>
        </w:rPr>
        <w:t xml:space="preserve">The Court’s criticism of the relationship between Reserve and Capstone </w:t>
      </w:r>
      <w:r w:rsidRPr="00462AD1">
        <w:rPr>
          <w:rFonts w:ascii="Times New Roman" w:hAnsi="Times New Roman" w:cs="Times New Roman"/>
          <w:sz w:val="22"/>
          <w:szCs w:val="22"/>
        </w:rPr>
        <w:t>disregarded testimony of Reserve’s owner that he relied on Capstone and his professional team to advise him on decisions relating to Reserve’s operational matters.</w:t>
      </w:r>
      <w:r>
        <w:rPr>
          <w:rFonts w:ascii="Times New Roman" w:hAnsi="Times New Roman" w:cs="Times New Roman"/>
          <w:sz w:val="22"/>
          <w:szCs w:val="22"/>
        </w:rPr>
        <w:t xml:space="preserve">  </w:t>
      </w:r>
      <w:r w:rsidRPr="00045292">
        <w:rPr>
          <w:rFonts w:ascii="Times New Roman" w:hAnsi="Times New Roman" w:cs="Times New Roman"/>
          <w:i/>
          <w:sz w:val="22"/>
          <w:szCs w:val="22"/>
        </w:rPr>
        <w:t>See</w:t>
      </w:r>
      <w:r w:rsidRPr="00C71F74">
        <w:rPr>
          <w:rFonts w:ascii="Times New Roman" w:hAnsi="Times New Roman" w:cs="Times New Roman"/>
          <w:sz w:val="22"/>
          <w:szCs w:val="22"/>
        </w:rPr>
        <w:t xml:space="preserve"> testimony of Norman Zumbaum, Tr</w:t>
      </w:r>
      <w:r>
        <w:rPr>
          <w:rFonts w:ascii="Times New Roman" w:hAnsi="Times New Roman" w:cs="Times New Roman"/>
          <w:sz w:val="22"/>
          <w:szCs w:val="22"/>
        </w:rPr>
        <w:t>.</w:t>
      </w:r>
      <w:r w:rsidRPr="00C71F74">
        <w:rPr>
          <w:rFonts w:ascii="Times New Roman" w:hAnsi="Times New Roman" w:cs="Times New Roman"/>
          <w:sz w:val="22"/>
          <w:szCs w:val="22"/>
        </w:rPr>
        <w:t xml:space="preserve"> at 135-138 and testimony of Norman Zumbaum on cross-examination</w:t>
      </w:r>
      <w:r>
        <w:rPr>
          <w:rFonts w:ascii="Times New Roman" w:hAnsi="Times New Roman" w:cs="Times New Roman"/>
          <w:sz w:val="22"/>
          <w:szCs w:val="22"/>
        </w:rPr>
        <w:t xml:space="preserve">, Tr. at </w:t>
      </w:r>
      <w:r w:rsidRPr="00C71F74">
        <w:rPr>
          <w:rFonts w:ascii="Times New Roman" w:hAnsi="Times New Roman" w:cs="Times New Roman"/>
          <w:sz w:val="22"/>
          <w:szCs w:val="22"/>
        </w:rPr>
        <w:t>165-167.  On cross-examination, Mr. Zumbaum testified that he “scanned through</w:t>
      </w:r>
      <w:r>
        <w:rPr>
          <w:rFonts w:ascii="Times New Roman" w:hAnsi="Times New Roman" w:cs="Times New Roman"/>
          <w:sz w:val="22"/>
          <w:szCs w:val="22"/>
        </w:rPr>
        <w:t xml:space="preserve">” </w:t>
      </w:r>
      <w:r w:rsidRPr="00C71F74">
        <w:rPr>
          <w:rFonts w:ascii="Times New Roman" w:hAnsi="Times New Roman" w:cs="Times New Roman"/>
          <w:sz w:val="22"/>
          <w:szCs w:val="22"/>
        </w:rPr>
        <w:t>the insurance policies for the entities that were insured by Reserve.  He further testified that the “folks from Capstone” were “our advisors” and that it was therefore “fair to say that whenever Mr. McNeel, Mr. Feldman or other folks from Capstone told him about [the coverages provided under the terms of Reserve’s insurance polic</w:t>
      </w:r>
      <w:r>
        <w:rPr>
          <w:rFonts w:ascii="Times New Roman" w:hAnsi="Times New Roman" w:cs="Times New Roman"/>
          <w:sz w:val="22"/>
          <w:szCs w:val="22"/>
        </w:rPr>
        <w:t>i</w:t>
      </w:r>
      <w:r w:rsidRPr="00C71F74">
        <w:rPr>
          <w:rFonts w:ascii="Times New Roman" w:hAnsi="Times New Roman" w:cs="Times New Roman"/>
          <w:sz w:val="22"/>
          <w:szCs w:val="22"/>
        </w:rPr>
        <w:t xml:space="preserve">es],” he believed </w:t>
      </w:r>
      <w:r>
        <w:rPr>
          <w:rFonts w:ascii="Times New Roman" w:hAnsi="Times New Roman" w:cs="Times New Roman"/>
          <w:sz w:val="22"/>
          <w:szCs w:val="22"/>
        </w:rPr>
        <w:t xml:space="preserve">and relied upon </w:t>
      </w:r>
      <w:r w:rsidRPr="00C71F74">
        <w:rPr>
          <w:rFonts w:ascii="Times New Roman" w:hAnsi="Times New Roman" w:cs="Times New Roman"/>
          <w:sz w:val="22"/>
          <w:szCs w:val="22"/>
        </w:rPr>
        <w:t>what was communicated to him by his advisors at Capstone.</w:t>
      </w:r>
    </w:p>
    <w:p w14:paraId="5715C814" w14:textId="77777777" w:rsidR="00434620" w:rsidRPr="00E31B85" w:rsidRDefault="00434620">
      <w:pPr>
        <w:pStyle w:val="EndnoteText"/>
        <w:rPr>
          <w:rFonts w:ascii="Times New Roman" w:hAnsi="Times New Roman" w:cs="Times New Roman"/>
          <w:sz w:val="22"/>
          <w:szCs w:val="22"/>
        </w:rPr>
      </w:pPr>
    </w:p>
  </w:endnote>
  <w:endnote w:id="134">
    <w:p w14:paraId="79A98333" w14:textId="77777777" w:rsidR="00434620" w:rsidRDefault="00434620">
      <w:pPr>
        <w:pStyle w:val="EndnoteText"/>
        <w:rPr>
          <w:rFonts w:ascii="Times New Roman" w:hAnsi="Times New Roman" w:cs="Times New Roman"/>
          <w:sz w:val="22"/>
          <w:szCs w:val="22"/>
        </w:rPr>
      </w:pPr>
      <w:r w:rsidRPr="009C46B1">
        <w:rPr>
          <w:rStyle w:val="EndnoteReference"/>
          <w:rFonts w:ascii="Times New Roman" w:hAnsi="Times New Roman" w:cs="Times New Roman"/>
          <w:sz w:val="22"/>
          <w:szCs w:val="22"/>
        </w:rPr>
        <w:endnoteRef/>
      </w:r>
      <w:r w:rsidRPr="009C46B1">
        <w:rPr>
          <w:rFonts w:ascii="Times New Roman" w:hAnsi="Times New Roman" w:cs="Times New Roman"/>
          <w:sz w:val="22"/>
          <w:szCs w:val="22"/>
        </w:rPr>
        <w:t xml:space="preserve"> For example, an employer </w:t>
      </w:r>
      <w:r>
        <w:rPr>
          <w:rFonts w:ascii="Times New Roman" w:hAnsi="Times New Roman" w:cs="Times New Roman"/>
          <w:sz w:val="22"/>
          <w:szCs w:val="22"/>
        </w:rPr>
        <w:t>that sponsors</w:t>
      </w:r>
      <w:r w:rsidRPr="009C46B1">
        <w:rPr>
          <w:rFonts w:ascii="Times New Roman" w:hAnsi="Times New Roman" w:cs="Times New Roman"/>
          <w:sz w:val="22"/>
          <w:szCs w:val="22"/>
        </w:rPr>
        <w:t xml:space="preserve"> a qualified retirement plan </w:t>
      </w:r>
      <w:r>
        <w:rPr>
          <w:rFonts w:ascii="Times New Roman" w:hAnsi="Times New Roman" w:cs="Times New Roman"/>
          <w:sz w:val="22"/>
          <w:szCs w:val="22"/>
        </w:rPr>
        <w:t xml:space="preserve">chooses to </w:t>
      </w:r>
      <w:r w:rsidRPr="009C46B1">
        <w:rPr>
          <w:rFonts w:ascii="Times New Roman" w:hAnsi="Times New Roman" w:cs="Times New Roman"/>
          <w:sz w:val="22"/>
          <w:szCs w:val="22"/>
        </w:rPr>
        <w:t xml:space="preserve">hire professionals to navigate the employer, as the client, through an array of very complex retirement plan rules.  The client hires retirement specialists to focus on ensuring that the retirement plan is designed properly, operated in compliance with </w:t>
      </w:r>
      <w:r>
        <w:rPr>
          <w:rFonts w:ascii="Times New Roman" w:hAnsi="Times New Roman" w:cs="Times New Roman"/>
          <w:sz w:val="22"/>
          <w:szCs w:val="22"/>
        </w:rPr>
        <w:t xml:space="preserve">complex </w:t>
      </w:r>
      <w:r w:rsidRPr="009C46B1">
        <w:rPr>
          <w:rFonts w:ascii="Times New Roman" w:hAnsi="Times New Roman" w:cs="Times New Roman"/>
          <w:sz w:val="22"/>
          <w:szCs w:val="22"/>
        </w:rPr>
        <w:t xml:space="preserve">tax and ERISA laws, and maintains in compliance with fiduciary responsibilities.  In a similar manner, a client hires a captive manager to navigate the client through an array of complex rules in </w:t>
      </w:r>
      <w:r w:rsidRPr="0037345D">
        <w:rPr>
          <w:rFonts w:ascii="Times New Roman" w:hAnsi="Times New Roman" w:cs="Times New Roman"/>
          <w:sz w:val="22"/>
          <w:szCs w:val="22"/>
        </w:rPr>
        <w:t xml:space="preserve">operating an insurance company, including advising on </w:t>
      </w:r>
      <w:r>
        <w:rPr>
          <w:rFonts w:ascii="Times New Roman" w:hAnsi="Times New Roman" w:cs="Times New Roman"/>
          <w:sz w:val="22"/>
          <w:szCs w:val="22"/>
        </w:rPr>
        <w:t xml:space="preserve">coverage design, policy selection and drafting, premium pricing, and claims handling, and to coordinate state insurance regulatory (compliance and reporting) matters, along with advising on risk mitigation (e.g., pooling and </w:t>
      </w:r>
      <w:r w:rsidRPr="0037345D">
        <w:rPr>
          <w:rFonts w:ascii="Times New Roman" w:hAnsi="Times New Roman" w:cs="Times New Roman"/>
          <w:sz w:val="22"/>
          <w:szCs w:val="22"/>
        </w:rPr>
        <w:t>reinsurance</w:t>
      </w:r>
      <w:r>
        <w:rPr>
          <w:rFonts w:ascii="Times New Roman" w:hAnsi="Times New Roman" w:cs="Times New Roman"/>
          <w:sz w:val="22"/>
          <w:szCs w:val="22"/>
        </w:rPr>
        <w:t>)</w:t>
      </w:r>
      <w:r w:rsidRPr="0037345D">
        <w:rPr>
          <w:rFonts w:ascii="Times New Roman" w:hAnsi="Times New Roman" w:cs="Times New Roman"/>
          <w:sz w:val="22"/>
          <w:szCs w:val="22"/>
        </w:rPr>
        <w:t xml:space="preserve"> transactions.</w:t>
      </w:r>
    </w:p>
    <w:p w14:paraId="771B36DB" w14:textId="77777777" w:rsidR="00434620" w:rsidRPr="0037345D" w:rsidRDefault="00434620">
      <w:pPr>
        <w:pStyle w:val="EndnoteText"/>
        <w:rPr>
          <w:rFonts w:ascii="Times New Roman" w:hAnsi="Times New Roman" w:cs="Times New Roman"/>
          <w:sz w:val="22"/>
          <w:szCs w:val="22"/>
        </w:rPr>
      </w:pPr>
    </w:p>
  </w:endnote>
  <w:endnote w:id="135">
    <w:p w14:paraId="6A146F29" w14:textId="065350A5" w:rsidR="00434620" w:rsidRPr="00E428C6" w:rsidRDefault="00434620">
      <w:pPr>
        <w:pStyle w:val="EndnoteText"/>
        <w:rPr>
          <w:rFonts w:ascii="Times New Roman" w:hAnsi="Times New Roman" w:cs="Times New Roman"/>
          <w:sz w:val="22"/>
          <w:szCs w:val="22"/>
        </w:rPr>
      </w:pPr>
      <w:r w:rsidRPr="00E428C6">
        <w:rPr>
          <w:rStyle w:val="EndnoteReference"/>
          <w:rFonts w:ascii="Times New Roman" w:hAnsi="Times New Roman" w:cs="Times New Roman"/>
          <w:sz w:val="22"/>
          <w:szCs w:val="22"/>
        </w:rPr>
        <w:endnoteRef/>
      </w:r>
      <w:r w:rsidRPr="00E428C6">
        <w:rPr>
          <w:rFonts w:ascii="Times New Roman" w:hAnsi="Times New Roman" w:cs="Times New Roman"/>
          <w:sz w:val="22"/>
          <w:szCs w:val="22"/>
        </w:rPr>
        <w:t xml:space="preserve"> </w:t>
      </w:r>
      <w:bookmarkStart w:id="43" w:name="_Hlk533771823"/>
      <w:r w:rsidRPr="00045292">
        <w:rPr>
          <w:rFonts w:ascii="Times New Roman" w:hAnsi="Times New Roman" w:cs="Times New Roman"/>
          <w:i/>
          <w:sz w:val="22"/>
          <w:szCs w:val="22"/>
        </w:rPr>
        <w:t>See</w:t>
      </w:r>
      <w:r w:rsidRPr="00A00513">
        <w:rPr>
          <w:rFonts w:ascii="Times New Roman" w:hAnsi="Times New Roman" w:cs="Times New Roman"/>
          <w:sz w:val="22"/>
          <w:szCs w:val="22"/>
        </w:rPr>
        <w:t xml:space="preserve"> </w:t>
      </w:r>
      <w:r w:rsidRPr="003B62E1">
        <w:rPr>
          <w:rFonts w:ascii="Times New Roman" w:hAnsi="Times New Roman" w:cs="Times New Roman"/>
          <w:sz w:val="22"/>
          <w:szCs w:val="22"/>
        </w:rPr>
        <w:t>Exhibit 97-P (Expert Report of Bob Snyder, March 27, 2017), page 2.</w:t>
      </w:r>
    </w:p>
    <w:bookmarkEnd w:id="43"/>
    <w:p w14:paraId="2CF95E9F" w14:textId="77777777" w:rsidR="00434620" w:rsidRPr="00E428C6" w:rsidRDefault="00434620">
      <w:pPr>
        <w:pStyle w:val="EndnoteText"/>
        <w:rPr>
          <w:rFonts w:ascii="Times New Roman" w:hAnsi="Times New Roman" w:cs="Times New Roman"/>
          <w:sz w:val="22"/>
          <w:szCs w:val="22"/>
        </w:rPr>
      </w:pPr>
    </w:p>
  </w:endnote>
  <w:endnote w:id="136">
    <w:p w14:paraId="75AFD4B9" w14:textId="708DE1CE" w:rsidR="00434620" w:rsidRDefault="00434620">
      <w:pPr>
        <w:pStyle w:val="EndnoteText"/>
        <w:rPr>
          <w:rFonts w:ascii="Times New Roman" w:hAnsi="Times New Roman" w:cs="Times New Roman"/>
          <w:sz w:val="22"/>
          <w:szCs w:val="22"/>
        </w:rPr>
      </w:pPr>
      <w:r w:rsidRPr="00E428C6">
        <w:rPr>
          <w:rStyle w:val="EndnoteReference"/>
          <w:rFonts w:ascii="Times New Roman" w:hAnsi="Times New Roman" w:cs="Times New Roman"/>
          <w:sz w:val="22"/>
          <w:szCs w:val="22"/>
        </w:rPr>
        <w:endnoteRef/>
      </w:r>
      <w:r w:rsidRPr="00E428C6">
        <w:rPr>
          <w:rFonts w:ascii="Times New Roman" w:hAnsi="Times New Roman" w:cs="Times New Roman"/>
          <w:sz w:val="22"/>
          <w:szCs w:val="22"/>
        </w:rPr>
        <w:t xml:space="preserve"> </w:t>
      </w:r>
      <w:r w:rsidRPr="00045292">
        <w:rPr>
          <w:rFonts w:ascii="Times New Roman" w:hAnsi="Times New Roman" w:cs="Times New Roman"/>
          <w:i/>
          <w:sz w:val="22"/>
          <w:szCs w:val="22"/>
        </w:rPr>
        <w:t>See</w:t>
      </w:r>
      <w:r>
        <w:rPr>
          <w:rFonts w:ascii="Times New Roman" w:hAnsi="Times New Roman" w:cs="Times New Roman"/>
          <w:sz w:val="22"/>
          <w:szCs w:val="22"/>
        </w:rPr>
        <w:t xml:space="preserve"> </w:t>
      </w:r>
      <w:r w:rsidRPr="003B62E1">
        <w:rPr>
          <w:rFonts w:ascii="Times New Roman" w:hAnsi="Times New Roman" w:cs="Times New Roman"/>
          <w:sz w:val="22"/>
          <w:szCs w:val="22"/>
        </w:rPr>
        <w:t>Exhibit 103-P (Expert Report of Steve Kinion</w:t>
      </w:r>
      <w:r>
        <w:rPr>
          <w:rFonts w:ascii="Times New Roman" w:hAnsi="Times New Roman" w:cs="Times New Roman"/>
          <w:sz w:val="22"/>
          <w:szCs w:val="22"/>
        </w:rPr>
        <w:t>,</w:t>
      </w:r>
      <w:r w:rsidRPr="003B62E1">
        <w:rPr>
          <w:rFonts w:ascii="Times New Roman" w:hAnsi="Times New Roman" w:cs="Times New Roman"/>
          <w:sz w:val="22"/>
          <w:szCs w:val="22"/>
        </w:rPr>
        <w:t xml:space="preserve"> March 26, 2017)</w:t>
      </w:r>
      <w:r>
        <w:rPr>
          <w:rFonts w:ascii="Times New Roman" w:hAnsi="Times New Roman" w:cs="Times New Roman"/>
          <w:sz w:val="22"/>
          <w:szCs w:val="22"/>
        </w:rPr>
        <w:t>, pages 7-11.</w:t>
      </w:r>
    </w:p>
    <w:p w14:paraId="7580AAAD" w14:textId="77777777" w:rsidR="00434620" w:rsidRPr="00E428C6" w:rsidRDefault="00434620">
      <w:pPr>
        <w:pStyle w:val="EndnoteText"/>
        <w:rPr>
          <w:rFonts w:ascii="Times New Roman" w:hAnsi="Times New Roman" w:cs="Times New Roman"/>
          <w:sz w:val="22"/>
          <w:szCs w:val="22"/>
        </w:rPr>
      </w:pPr>
    </w:p>
  </w:endnote>
  <w:endnote w:id="137">
    <w:p w14:paraId="64209739" w14:textId="17E66529" w:rsidR="00434620" w:rsidRDefault="00434620">
      <w:pPr>
        <w:pStyle w:val="EndnoteText"/>
        <w:rPr>
          <w:rFonts w:ascii="Times New Roman" w:hAnsi="Times New Roman" w:cs="Times New Roman"/>
          <w:sz w:val="22"/>
          <w:szCs w:val="22"/>
        </w:rPr>
      </w:pPr>
      <w:r w:rsidRPr="00E428C6">
        <w:rPr>
          <w:rStyle w:val="EndnoteReference"/>
          <w:rFonts w:ascii="Times New Roman" w:hAnsi="Times New Roman" w:cs="Times New Roman"/>
          <w:sz w:val="22"/>
          <w:szCs w:val="22"/>
        </w:rPr>
        <w:endnoteRef/>
      </w:r>
      <w:r w:rsidRPr="00E428C6">
        <w:rPr>
          <w:rFonts w:ascii="Times New Roman" w:hAnsi="Times New Roman" w:cs="Times New Roman"/>
          <w:sz w:val="22"/>
          <w:szCs w:val="22"/>
        </w:rPr>
        <w:t xml:space="preserve"> </w:t>
      </w:r>
      <w:r w:rsidRPr="00045292">
        <w:rPr>
          <w:rFonts w:ascii="Times New Roman" w:hAnsi="Times New Roman" w:cs="Times New Roman"/>
          <w:i/>
          <w:sz w:val="22"/>
          <w:szCs w:val="22"/>
        </w:rPr>
        <w:t>See</w:t>
      </w:r>
      <w:r>
        <w:rPr>
          <w:rFonts w:ascii="Times New Roman" w:hAnsi="Times New Roman" w:cs="Times New Roman"/>
          <w:sz w:val="22"/>
          <w:szCs w:val="22"/>
        </w:rPr>
        <w:t xml:space="preserve"> Exhibit 130-P (Expert Report of David B. Liptz, CPA, March 23, 2017, page 2.</w:t>
      </w:r>
    </w:p>
    <w:p w14:paraId="51564098" w14:textId="77777777" w:rsidR="00434620" w:rsidRPr="00E428C6" w:rsidRDefault="00434620">
      <w:pPr>
        <w:pStyle w:val="EndnoteText"/>
        <w:rPr>
          <w:rFonts w:ascii="Times New Roman" w:hAnsi="Times New Roman" w:cs="Times New Roman"/>
          <w:sz w:val="22"/>
          <w:szCs w:val="22"/>
        </w:rPr>
      </w:pPr>
    </w:p>
  </w:endnote>
  <w:endnote w:id="138">
    <w:p w14:paraId="74F8EDB8" w14:textId="77777777" w:rsidR="00434620" w:rsidRPr="0037345D" w:rsidRDefault="00434620" w:rsidP="00556084">
      <w:pPr>
        <w:pStyle w:val="EndnoteText"/>
        <w:rPr>
          <w:rFonts w:ascii="Times New Roman" w:hAnsi="Times New Roman" w:cs="Times New Roman"/>
          <w:sz w:val="22"/>
          <w:szCs w:val="22"/>
        </w:rPr>
      </w:pPr>
      <w:r w:rsidRPr="0037345D">
        <w:rPr>
          <w:rStyle w:val="EndnoteReference"/>
          <w:rFonts w:ascii="Times New Roman" w:hAnsi="Times New Roman" w:cs="Times New Roman"/>
          <w:sz w:val="22"/>
          <w:szCs w:val="22"/>
        </w:rPr>
        <w:endnoteRef/>
      </w:r>
      <w:r w:rsidRPr="0037345D">
        <w:rPr>
          <w:rFonts w:ascii="Times New Roman" w:hAnsi="Times New Roman" w:cs="Times New Roman"/>
          <w:sz w:val="22"/>
          <w:szCs w:val="22"/>
        </w:rPr>
        <w:t xml:space="preserve"> </w:t>
      </w:r>
      <w:r w:rsidRPr="00045292">
        <w:rPr>
          <w:rFonts w:ascii="Times New Roman" w:hAnsi="Times New Roman" w:cs="Times New Roman"/>
          <w:i/>
          <w:sz w:val="22"/>
          <w:szCs w:val="22"/>
        </w:rPr>
        <w:t>See</w:t>
      </w:r>
      <w:r>
        <w:rPr>
          <w:rFonts w:ascii="Times New Roman" w:hAnsi="Times New Roman" w:cs="Times New Roman"/>
          <w:sz w:val="22"/>
          <w:szCs w:val="22"/>
        </w:rPr>
        <w:t xml:space="preserve"> </w:t>
      </w:r>
      <w:r w:rsidRPr="00624A10">
        <w:rPr>
          <w:rFonts w:ascii="Times New Roman" w:hAnsi="Times New Roman" w:cs="Times New Roman"/>
          <w:i/>
          <w:sz w:val="22"/>
          <w:szCs w:val="22"/>
        </w:rPr>
        <w:t>Reserve</w:t>
      </w:r>
      <w:r>
        <w:rPr>
          <w:rFonts w:ascii="Times New Roman" w:hAnsi="Times New Roman" w:cs="Times New Roman"/>
          <w:sz w:val="22"/>
          <w:szCs w:val="22"/>
        </w:rPr>
        <w:t xml:space="preserve"> at </w:t>
      </w:r>
      <w:r w:rsidRPr="0037345D">
        <w:rPr>
          <w:rFonts w:ascii="Times New Roman" w:hAnsi="Times New Roman" w:cs="Times New Roman"/>
          <w:sz w:val="22"/>
          <w:szCs w:val="22"/>
        </w:rPr>
        <w:t>page 52</w:t>
      </w:r>
      <w:r>
        <w:rPr>
          <w:rFonts w:ascii="Times New Roman" w:hAnsi="Times New Roman" w:cs="Times New Roman"/>
          <w:sz w:val="22"/>
          <w:szCs w:val="22"/>
        </w:rPr>
        <w:t xml:space="preserve">, where </w:t>
      </w:r>
      <w:r w:rsidRPr="0037345D">
        <w:rPr>
          <w:rFonts w:ascii="Times New Roman" w:hAnsi="Times New Roman" w:cs="Times New Roman"/>
          <w:sz w:val="22"/>
          <w:szCs w:val="22"/>
        </w:rPr>
        <w:t>the Court stated that “Peak did not submit and Reserve did not insist on</w:t>
      </w:r>
    </w:p>
    <w:p w14:paraId="0CC49845" w14:textId="77777777" w:rsidR="00434620" w:rsidRDefault="00434620" w:rsidP="00556084">
      <w:pPr>
        <w:pStyle w:val="EndnoteText"/>
        <w:rPr>
          <w:rFonts w:ascii="Times New Roman" w:hAnsi="Times New Roman" w:cs="Times New Roman"/>
          <w:sz w:val="22"/>
          <w:szCs w:val="22"/>
        </w:rPr>
      </w:pPr>
      <w:r w:rsidRPr="0037345D">
        <w:rPr>
          <w:rFonts w:ascii="Times New Roman" w:hAnsi="Times New Roman" w:cs="Times New Roman"/>
          <w:sz w:val="22"/>
          <w:szCs w:val="22"/>
        </w:rPr>
        <w:t>obtaining any documents to substantiate the occurrence or the amount of the claimed loss.</w:t>
      </w:r>
      <w:r>
        <w:rPr>
          <w:rFonts w:ascii="Times New Roman" w:hAnsi="Times New Roman" w:cs="Times New Roman"/>
          <w:sz w:val="22"/>
          <w:szCs w:val="22"/>
        </w:rPr>
        <w:t>”</w:t>
      </w:r>
    </w:p>
    <w:p w14:paraId="6D123C3F" w14:textId="77777777" w:rsidR="00434620" w:rsidRPr="00397618" w:rsidRDefault="00434620" w:rsidP="00556084">
      <w:pPr>
        <w:pStyle w:val="EndnoteText"/>
        <w:rPr>
          <w:rFonts w:ascii="Times New Roman" w:hAnsi="Times New Roman" w:cs="Times New Roman"/>
          <w:sz w:val="22"/>
          <w:szCs w:val="22"/>
        </w:rPr>
      </w:pPr>
    </w:p>
  </w:endnote>
  <w:endnote w:id="139">
    <w:p w14:paraId="6F9E2B07" w14:textId="77777777" w:rsidR="00434620" w:rsidRDefault="00434620">
      <w:pPr>
        <w:pStyle w:val="EndnoteText"/>
        <w:rPr>
          <w:rFonts w:ascii="Times New Roman" w:hAnsi="Times New Roman" w:cs="Times New Roman"/>
          <w:sz w:val="22"/>
          <w:szCs w:val="22"/>
        </w:rPr>
      </w:pPr>
      <w:r w:rsidRPr="00397618">
        <w:rPr>
          <w:rStyle w:val="EndnoteReference"/>
          <w:rFonts w:ascii="Times New Roman" w:hAnsi="Times New Roman" w:cs="Times New Roman"/>
          <w:sz w:val="22"/>
          <w:szCs w:val="22"/>
        </w:rPr>
        <w:endnoteRef/>
      </w:r>
      <w:r w:rsidRPr="00397618">
        <w:rPr>
          <w:rFonts w:ascii="Times New Roman" w:hAnsi="Times New Roman" w:cs="Times New Roman"/>
          <w:sz w:val="22"/>
          <w:szCs w:val="22"/>
        </w:rPr>
        <w:t xml:space="preserve"> </w:t>
      </w:r>
      <w:bookmarkStart w:id="44" w:name="_Hlk528659973"/>
      <w:r w:rsidRPr="00045292">
        <w:rPr>
          <w:rFonts w:ascii="Times New Roman" w:hAnsi="Times New Roman" w:cs="Times New Roman"/>
          <w:i/>
          <w:sz w:val="22"/>
          <w:szCs w:val="22"/>
        </w:rPr>
        <w:t>See</w:t>
      </w:r>
      <w:r w:rsidRPr="000815BA">
        <w:rPr>
          <w:rFonts w:ascii="Times New Roman" w:hAnsi="Times New Roman" w:cs="Times New Roman"/>
          <w:sz w:val="22"/>
          <w:szCs w:val="22"/>
        </w:rPr>
        <w:t xml:space="preserve"> Exhibit 89-J (check </w:t>
      </w:r>
      <w:r>
        <w:rPr>
          <w:rFonts w:ascii="Times New Roman" w:hAnsi="Times New Roman" w:cs="Times New Roman"/>
          <w:sz w:val="22"/>
          <w:szCs w:val="22"/>
        </w:rPr>
        <w:t>for</w:t>
      </w:r>
      <w:r w:rsidRPr="000815BA">
        <w:rPr>
          <w:rFonts w:ascii="Times New Roman" w:hAnsi="Times New Roman" w:cs="Times New Roman"/>
          <w:sz w:val="22"/>
          <w:szCs w:val="22"/>
        </w:rPr>
        <w:t xml:space="preserve"> claim payment to Peak Mechanical and Components, Inc. </w:t>
      </w:r>
      <w:r>
        <w:rPr>
          <w:rFonts w:ascii="Times New Roman" w:hAnsi="Times New Roman" w:cs="Times New Roman"/>
          <w:sz w:val="22"/>
          <w:szCs w:val="22"/>
        </w:rPr>
        <w:t>in amount of</w:t>
      </w:r>
      <w:r w:rsidRPr="000815BA">
        <w:rPr>
          <w:rFonts w:ascii="Times New Roman" w:hAnsi="Times New Roman" w:cs="Times New Roman"/>
          <w:sz w:val="22"/>
          <w:szCs w:val="22"/>
        </w:rPr>
        <w:t xml:space="preserve"> $150,000 on 4/21/09), Exhibit 91-J (check </w:t>
      </w:r>
      <w:r>
        <w:rPr>
          <w:rFonts w:ascii="Times New Roman" w:hAnsi="Times New Roman" w:cs="Times New Roman"/>
          <w:sz w:val="22"/>
          <w:szCs w:val="22"/>
        </w:rPr>
        <w:t>for</w:t>
      </w:r>
      <w:r w:rsidRPr="000815BA">
        <w:rPr>
          <w:rFonts w:ascii="Times New Roman" w:hAnsi="Times New Roman" w:cs="Times New Roman"/>
          <w:sz w:val="22"/>
          <w:szCs w:val="22"/>
        </w:rPr>
        <w:t xml:space="preserve"> claim payment to Peak Mechanical and Components, Inc. </w:t>
      </w:r>
      <w:r>
        <w:rPr>
          <w:rFonts w:ascii="Times New Roman" w:hAnsi="Times New Roman" w:cs="Times New Roman"/>
          <w:sz w:val="22"/>
          <w:szCs w:val="22"/>
        </w:rPr>
        <w:t>in amount of</w:t>
      </w:r>
      <w:r w:rsidRPr="000815BA">
        <w:rPr>
          <w:rFonts w:ascii="Times New Roman" w:hAnsi="Times New Roman" w:cs="Times New Roman"/>
          <w:sz w:val="22"/>
          <w:szCs w:val="22"/>
        </w:rPr>
        <w:t xml:space="preserve"> $14,980 on 5/27/09), and Exhibit 92-J (check </w:t>
      </w:r>
      <w:r>
        <w:rPr>
          <w:rFonts w:ascii="Times New Roman" w:hAnsi="Times New Roman" w:cs="Times New Roman"/>
          <w:sz w:val="22"/>
          <w:szCs w:val="22"/>
        </w:rPr>
        <w:t>for</w:t>
      </w:r>
      <w:r w:rsidRPr="000815BA">
        <w:rPr>
          <w:rFonts w:ascii="Times New Roman" w:hAnsi="Times New Roman" w:cs="Times New Roman"/>
          <w:sz w:val="22"/>
          <w:szCs w:val="22"/>
        </w:rPr>
        <w:t xml:space="preserve"> claim payment to Peak Mechanical and Components, Inc. </w:t>
      </w:r>
      <w:r>
        <w:rPr>
          <w:rFonts w:ascii="Times New Roman" w:hAnsi="Times New Roman" w:cs="Times New Roman"/>
          <w:sz w:val="22"/>
          <w:szCs w:val="22"/>
        </w:rPr>
        <w:t xml:space="preserve">in amount of </w:t>
      </w:r>
      <w:r w:rsidRPr="000815BA">
        <w:rPr>
          <w:rFonts w:ascii="Times New Roman" w:hAnsi="Times New Roman" w:cs="Times New Roman"/>
          <w:sz w:val="22"/>
          <w:szCs w:val="22"/>
        </w:rPr>
        <w:t xml:space="preserve"> $175,000 on 9/10/09.  </w:t>
      </w:r>
      <w:r w:rsidRPr="00045292">
        <w:rPr>
          <w:rFonts w:ascii="Times New Roman" w:hAnsi="Times New Roman" w:cs="Times New Roman"/>
          <w:i/>
          <w:sz w:val="22"/>
          <w:szCs w:val="22"/>
        </w:rPr>
        <w:t>See also</w:t>
      </w:r>
      <w:r w:rsidRPr="000815BA">
        <w:rPr>
          <w:rFonts w:ascii="Times New Roman" w:hAnsi="Times New Roman" w:cs="Times New Roman"/>
          <w:sz w:val="22"/>
          <w:szCs w:val="22"/>
        </w:rPr>
        <w:t xml:space="preserve"> Exhibit 90-J (Settlement and Release Agreement Between Reserve Casualty Corp. and Peak Mechanical and Components, Inc. executed on 5/27/09) and Exhibit 93-J (Settlement and Release Agreement Addendum No. 1 Between Reserve Casualty Corp. and Peak Mechanical and Components, Inc. executed on 1/30/12).</w:t>
      </w:r>
      <w:bookmarkEnd w:id="44"/>
    </w:p>
    <w:p w14:paraId="21E5AC59" w14:textId="77777777" w:rsidR="00434620" w:rsidRPr="00397618" w:rsidRDefault="00434620">
      <w:pPr>
        <w:pStyle w:val="EndnoteText"/>
        <w:rPr>
          <w:rFonts w:ascii="Times New Roman" w:hAnsi="Times New Roman" w:cs="Times New Roman"/>
          <w:sz w:val="22"/>
          <w:szCs w:val="22"/>
        </w:rPr>
      </w:pPr>
    </w:p>
  </w:endnote>
  <w:endnote w:id="140">
    <w:p w14:paraId="03118F1A" w14:textId="503EC138" w:rsidR="00434620" w:rsidRPr="00EA1FD3" w:rsidRDefault="00434620" w:rsidP="00BB2184">
      <w:pPr>
        <w:pStyle w:val="EndnoteText"/>
        <w:rPr>
          <w:rFonts w:ascii="Times New Roman" w:hAnsi="Times New Roman" w:cs="Times New Roman"/>
          <w:sz w:val="22"/>
          <w:szCs w:val="22"/>
        </w:rPr>
      </w:pPr>
      <w:r w:rsidRPr="00397618">
        <w:rPr>
          <w:rStyle w:val="EndnoteReference"/>
          <w:rFonts w:ascii="Times New Roman" w:hAnsi="Times New Roman" w:cs="Times New Roman"/>
          <w:sz w:val="22"/>
          <w:szCs w:val="22"/>
        </w:rPr>
        <w:endnoteRef/>
      </w:r>
      <w:r w:rsidRPr="00397618">
        <w:rPr>
          <w:rFonts w:ascii="Times New Roman" w:hAnsi="Times New Roman" w:cs="Times New Roman"/>
          <w:sz w:val="22"/>
          <w:szCs w:val="22"/>
        </w:rPr>
        <w:t xml:space="preserve"> </w:t>
      </w:r>
      <w:r w:rsidRPr="00045292">
        <w:rPr>
          <w:rFonts w:ascii="Times New Roman" w:hAnsi="Times New Roman" w:cs="Times New Roman"/>
          <w:i/>
          <w:sz w:val="22"/>
          <w:szCs w:val="22"/>
        </w:rPr>
        <w:t>See</w:t>
      </w:r>
      <w:r w:rsidRPr="00397618">
        <w:rPr>
          <w:rFonts w:ascii="Times New Roman" w:hAnsi="Times New Roman" w:cs="Times New Roman"/>
          <w:sz w:val="22"/>
          <w:szCs w:val="22"/>
        </w:rPr>
        <w:t xml:space="preserve"> testimony of Lance McNeel</w:t>
      </w:r>
      <w:r>
        <w:rPr>
          <w:rFonts w:ascii="Times New Roman" w:hAnsi="Times New Roman" w:cs="Times New Roman"/>
          <w:sz w:val="22"/>
          <w:szCs w:val="22"/>
        </w:rPr>
        <w:t>, Tr.</w:t>
      </w:r>
      <w:r w:rsidRPr="00397618">
        <w:rPr>
          <w:rFonts w:ascii="Times New Roman" w:hAnsi="Times New Roman" w:cs="Times New Roman"/>
          <w:sz w:val="22"/>
          <w:szCs w:val="22"/>
        </w:rPr>
        <w:t xml:space="preserve"> at 387-388.  Mr. McNeel testified that, in his capacity working</w:t>
      </w:r>
      <w:r w:rsidRPr="00EA4F6A">
        <w:rPr>
          <w:rFonts w:ascii="Times New Roman" w:hAnsi="Times New Roman" w:cs="Times New Roman"/>
          <w:sz w:val="22"/>
          <w:szCs w:val="22"/>
        </w:rPr>
        <w:t xml:space="preserve"> with</w:t>
      </w:r>
      <w:r>
        <w:rPr>
          <w:rFonts w:ascii="Times New Roman" w:hAnsi="Times New Roman" w:cs="Times New Roman"/>
          <w:sz w:val="22"/>
          <w:szCs w:val="22"/>
        </w:rPr>
        <w:t xml:space="preserve"> </w:t>
      </w:r>
      <w:r w:rsidRPr="00EA4F6A">
        <w:rPr>
          <w:rFonts w:ascii="Times New Roman" w:hAnsi="Times New Roman" w:cs="Times New Roman"/>
          <w:sz w:val="22"/>
          <w:szCs w:val="22"/>
        </w:rPr>
        <w:t xml:space="preserve">Capstone, </w:t>
      </w:r>
      <w:r>
        <w:rPr>
          <w:rFonts w:ascii="Times New Roman" w:hAnsi="Times New Roman" w:cs="Times New Roman"/>
          <w:sz w:val="22"/>
          <w:szCs w:val="22"/>
        </w:rPr>
        <w:t xml:space="preserve">he worked with policies that were common to a lot of different clients and that he would </w:t>
      </w:r>
      <w:r w:rsidRPr="00EA4F6A">
        <w:rPr>
          <w:rFonts w:ascii="Times New Roman" w:hAnsi="Times New Roman" w:cs="Times New Roman"/>
          <w:sz w:val="22"/>
          <w:szCs w:val="22"/>
        </w:rPr>
        <w:t xml:space="preserve">talk about </w:t>
      </w:r>
      <w:r>
        <w:rPr>
          <w:rFonts w:ascii="Times New Roman" w:hAnsi="Times New Roman" w:cs="Times New Roman"/>
          <w:sz w:val="22"/>
          <w:szCs w:val="22"/>
        </w:rPr>
        <w:t xml:space="preserve">these types of common policies </w:t>
      </w:r>
      <w:r w:rsidRPr="00EA4F6A">
        <w:rPr>
          <w:rFonts w:ascii="Times New Roman" w:hAnsi="Times New Roman" w:cs="Times New Roman"/>
          <w:sz w:val="22"/>
          <w:szCs w:val="22"/>
        </w:rPr>
        <w:t xml:space="preserve">with </w:t>
      </w:r>
      <w:r>
        <w:rPr>
          <w:rFonts w:ascii="Times New Roman" w:hAnsi="Times New Roman" w:cs="Times New Roman"/>
          <w:sz w:val="22"/>
          <w:szCs w:val="22"/>
        </w:rPr>
        <w:t>many clients</w:t>
      </w:r>
      <w:r w:rsidRPr="00EA4F6A">
        <w:rPr>
          <w:rFonts w:ascii="Times New Roman" w:hAnsi="Times New Roman" w:cs="Times New Roman"/>
          <w:sz w:val="22"/>
          <w:szCs w:val="22"/>
        </w:rPr>
        <w:t xml:space="preserve"> </w:t>
      </w:r>
      <w:r>
        <w:rPr>
          <w:rFonts w:ascii="Times New Roman" w:hAnsi="Times New Roman" w:cs="Times New Roman"/>
          <w:sz w:val="22"/>
          <w:szCs w:val="22"/>
        </w:rPr>
        <w:t>who might</w:t>
      </w:r>
      <w:r w:rsidRPr="00EA4F6A">
        <w:rPr>
          <w:rFonts w:ascii="Times New Roman" w:hAnsi="Times New Roman" w:cs="Times New Roman"/>
          <w:sz w:val="22"/>
          <w:szCs w:val="22"/>
        </w:rPr>
        <w:t xml:space="preserve"> be</w:t>
      </w:r>
      <w:r>
        <w:rPr>
          <w:rFonts w:ascii="Times New Roman" w:hAnsi="Times New Roman" w:cs="Times New Roman"/>
          <w:sz w:val="22"/>
          <w:szCs w:val="22"/>
        </w:rPr>
        <w:t xml:space="preserve"> interested in</w:t>
      </w:r>
      <w:r w:rsidRPr="00EA4F6A">
        <w:rPr>
          <w:rFonts w:ascii="Times New Roman" w:hAnsi="Times New Roman" w:cs="Times New Roman"/>
          <w:sz w:val="22"/>
          <w:szCs w:val="22"/>
        </w:rPr>
        <w:t xml:space="preserve"> setting up </w:t>
      </w:r>
      <w:r>
        <w:rPr>
          <w:rFonts w:ascii="Times New Roman" w:hAnsi="Times New Roman" w:cs="Times New Roman"/>
          <w:sz w:val="22"/>
          <w:szCs w:val="22"/>
        </w:rPr>
        <w:t xml:space="preserve">a captive insurance company.  Mr. McNeel also testified that Capstone </w:t>
      </w:r>
      <w:r w:rsidRPr="00EA4F6A">
        <w:rPr>
          <w:rFonts w:ascii="Times New Roman" w:hAnsi="Times New Roman" w:cs="Times New Roman"/>
          <w:sz w:val="22"/>
          <w:szCs w:val="22"/>
        </w:rPr>
        <w:t>had</w:t>
      </w:r>
      <w:r>
        <w:rPr>
          <w:rFonts w:ascii="Times New Roman" w:hAnsi="Times New Roman" w:cs="Times New Roman"/>
          <w:sz w:val="22"/>
          <w:szCs w:val="22"/>
        </w:rPr>
        <w:t xml:space="preserve"> many </w:t>
      </w:r>
      <w:r w:rsidRPr="00EA4F6A">
        <w:rPr>
          <w:rFonts w:ascii="Times New Roman" w:hAnsi="Times New Roman" w:cs="Times New Roman"/>
          <w:sz w:val="22"/>
          <w:szCs w:val="22"/>
        </w:rPr>
        <w:t>policies that were manuscripted specifically for a</w:t>
      </w:r>
      <w:r>
        <w:rPr>
          <w:rFonts w:ascii="Times New Roman" w:hAnsi="Times New Roman" w:cs="Times New Roman"/>
          <w:sz w:val="22"/>
          <w:szCs w:val="22"/>
        </w:rPr>
        <w:t xml:space="preserve"> particular </w:t>
      </w:r>
      <w:r w:rsidRPr="00EA4F6A">
        <w:rPr>
          <w:rFonts w:ascii="Times New Roman" w:hAnsi="Times New Roman" w:cs="Times New Roman"/>
          <w:sz w:val="22"/>
          <w:szCs w:val="22"/>
        </w:rPr>
        <w:t>client</w:t>
      </w:r>
      <w:r>
        <w:rPr>
          <w:rFonts w:ascii="Times New Roman" w:hAnsi="Times New Roman" w:cs="Times New Roman"/>
          <w:sz w:val="22"/>
          <w:szCs w:val="22"/>
        </w:rPr>
        <w:t xml:space="preserve"> in certain situations.  </w:t>
      </w:r>
      <w:r w:rsidRPr="00045292">
        <w:rPr>
          <w:rFonts w:ascii="Times New Roman" w:hAnsi="Times New Roman" w:cs="Times New Roman"/>
          <w:i/>
          <w:sz w:val="22"/>
          <w:szCs w:val="22"/>
        </w:rPr>
        <w:t>See also</w:t>
      </w:r>
      <w:r w:rsidRPr="00766DDE">
        <w:rPr>
          <w:rFonts w:ascii="Times New Roman" w:hAnsi="Times New Roman" w:cs="Times New Roman"/>
          <w:sz w:val="22"/>
          <w:szCs w:val="22"/>
        </w:rPr>
        <w:t xml:space="preserve"> testimony of Stewart Feldman</w:t>
      </w:r>
      <w:r>
        <w:rPr>
          <w:rFonts w:ascii="Times New Roman" w:hAnsi="Times New Roman" w:cs="Times New Roman"/>
          <w:sz w:val="22"/>
          <w:szCs w:val="22"/>
        </w:rPr>
        <w:t>, Tr.</w:t>
      </w:r>
      <w:r w:rsidRPr="00766DDE">
        <w:rPr>
          <w:rFonts w:ascii="Times New Roman" w:hAnsi="Times New Roman" w:cs="Times New Roman"/>
          <w:sz w:val="22"/>
          <w:szCs w:val="22"/>
        </w:rPr>
        <w:t xml:space="preserve"> at 763-764.</w:t>
      </w:r>
      <w:r>
        <w:rPr>
          <w:rFonts w:ascii="Times New Roman" w:hAnsi="Times New Roman" w:cs="Times New Roman"/>
          <w:sz w:val="22"/>
          <w:szCs w:val="22"/>
        </w:rPr>
        <w:t xml:space="preserve">  Mr. Feldman testified that Capstone drafted “m</w:t>
      </w:r>
      <w:r w:rsidRPr="00BB2184">
        <w:rPr>
          <w:rFonts w:ascii="Times New Roman" w:hAnsi="Times New Roman" w:cs="Times New Roman"/>
          <w:sz w:val="22"/>
          <w:szCs w:val="22"/>
        </w:rPr>
        <w:t>anuscripted polic</w:t>
      </w:r>
      <w:r>
        <w:rPr>
          <w:rFonts w:ascii="Times New Roman" w:hAnsi="Times New Roman" w:cs="Times New Roman"/>
          <w:sz w:val="22"/>
          <w:szCs w:val="22"/>
        </w:rPr>
        <w:t>ies” in many situations,</w:t>
      </w:r>
      <w:r w:rsidRPr="00BB2184">
        <w:rPr>
          <w:rFonts w:ascii="Times New Roman" w:hAnsi="Times New Roman" w:cs="Times New Roman"/>
          <w:sz w:val="22"/>
          <w:szCs w:val="22"/>
        </w:rPr>
        <w:t xml:space="preserve"> </w:t>
      </w:r>
      <w:r>
        <w:rPr>
          <w:rFonts w:ascii="Times New Roman" w:hAnsi="Times New Roman" w:cs="Times New Roman"/>
          <w:sz w:val="22"/>
          <w:szCs w:val="22"/>
        </w:rPr>
        <w:t xml:space="preserve">which meant </w:t>
      </w:r>
      <w:r w:rsidRPr="00BB2184">
        <w:rPr>
          <w:rFonts w:ascii="Times New Roman" w:hAnsi="Times New Roman" w:cs="Times New Roman"/>
          <w:sz w:val="22"/>
          <w:szCs w:val="22"/>
        </w:rPr>
        <w:t xml:space="preserve">to </w:t>
      </w:r>
      <w:r>
        <w:rPr>
          <w:rFonts w:ascii="Times New Roman" w:hAnsi="Times New Roman" w:cs="Times New Roman"/>
          <w:sz w:val="22"/>
          <w:szCs w:val="22"/>
        </w:rPr>
        <w:t>him</w:t>
      </w:r>
      <w:r w:rsidRPr="00BB2184">
        <w:rPr>
          <w:rFonts w:ascii="Times New Roman" w:hAnsi="Times New Roman" w:cs="Times New Roman"/>
          <w:sz w:val="22"/>
          <w:szCs w:val="22"/>
        </w:rPr>
        <w:t xml:space="preserve"> that </w:t>
      </w:r>
      <w:r>
        <w:rPr>
          <w:rFonts w:ascii="Times New Roman" w:hAnsi="Times New Roman" w:cs="Times New Roman"/>
          <w:sz w:val="22"/>
          <w:szCs w:val="22"/>
        </w:rPr>
        <w:t>such a policy is a</w:t>
      </w:r>
      <w:r w:rsidRPr="00BB2184">
        <w:rPr>
          <w:rFonts w:ascii="Times New Roman" w:hAnsi="Times New Roman" w:cs="Times New Roman"/>
          <w:sz w:val="22"/>
          <w:szCs w:val="22"/>
        </w:rPr>
        <w:t xml:space="preserve"> custom or semi-custom policy</w:t>
      </w:r>
      <w:r>
        <w:rPr>
          <w:rFonts w:ascii="Times New Roman" w:hAnsi="Times New Roman" w:cs="Times New Roman"/>
          <w:sz w:val="22"/>
          <w:szCs w:val="22"/>
        </w:rPr>
        <w:t xml:space="preserve"> </w:t>
      </w:r>
      <w:r w:rsidRPr="00BB2184">
        <w:rPr>
          <w:rFonts w:ascii="Times New Roman" w:hAnsi="Times New Roman" w:cs="Times New Roman"/>
          <w:sz w:val="22"/>
          <w:szCs w:val="22"/>
        </w:rPr>
        <w:t xml:space="preserve">directed at </w:t>
      </w:r>
      <w:r>
        <w:rPr>
          <w:rFonts w:ascii="Times New Roman" w:hAnsi="Times New Roman" w:cs="Times New Roman"/>
          <w:sz w:val="22"/>
          <w:szCs w:val="22"/>
        </w:rPr>
        <w:t>a</w:t>
      </w:r>
      <w:r w:rsidRPr="00BB2184">
        <w:rPr>
          <w:rFonts w:ascii="Times New Roman" w:hAnsi="Times New Roman" w:cs="Times New Roman"/>
          <w:sz w:val="22"/>
          <w:szCs w:val="22"/>
        </w:rPr>
        <w:t xml:space="preserve"> particular business.</w:t>
      </w:r>
    </w:p>
    <w:p w14:paraId="53AB97D5" w14:textId="77777777" w:rsidR="00434620" w:rsidRPr="00EA1FD3" w:rsidRDefault="00434620">
      <w:pPr>
        <w:pStyle w:val="EndnoteText"/>
        <w:rPr>
          <w:rFonts w:ascii="Times New Roman" w:hAnsi="Times New Roman" w:cs="Times New Roman"/>
          <w:sz w:val="22"/>
          <w:szCs w:val="22"/>
        </w:rPr>
      </w:pPr>
    </w:p>
  </w:endnote>
  <w:endnote w:id="141">
    <w:p w14:paraId="78ECB9D8" w14:textId="77777777" w:rsidR="00434620" w:rsidRPr="009B6342" w:rsidRDefault="00434620">
      <w:pPr>
        <w:pStyle w:val="EndnoteText"/>
        <w:rPr>
          <w:rFonts w:ascii="Times New Roman" w:hAnsi="Times New Roman" w:cs="Times New Roman"/>
          <w:sz w:val="22"/>
          <w:szCs w:val="22"/>
        </w:rPr>
      </w:pPr>
      <w:r w:rsidRPr="00EA1FD3">
        <w:rPr>
          <w:rStyle w:val="EndnoteReference"/>
          <w:rFonts w:ascii="Times New Roman" w:hAnsi="Times New Roman" w:cs="Times New Roman"/>
          <w:sz w:val="22"/>
          <w:szCs w:val="22"/>
        </w:rPr>
        <w:endnoteRef/>
      </w:r>
      <w:r w:rsidRPr="00EA1FD3">
        <w:rPr>
          <w:rFonts w:ascii="Times New Roman" w:hAnsi="Times New Roman" w:cs="Times New Roman"/>
          <w:sz w:val="22"/>
          <w:szCs w:val="22"/>
        </w:rPr>
        <w:t xml:space="preserve"> </w:t>
      </w:r>
      <w:r w:rsidRPr="00045292">
        <w:rPr>
          <w:rFonts w:ascii="Times New Roman" w:hAnsi="Times New Roman" w:cs="Times New Roman"/>
          <w:i/>
          <w:sz w:val="22"/>
          <w:szCs w:val="22"/>
        </w:rPr>
        <w:t>See</w:t>
      </w:r>
      <w:r w:rsidRPr="00EA1FD3">
        <w:rPr>
          <w:rFonts w:ascii="Times New Roman" w:hAnsi="Times New Roman" w:cs="Times New Roman"/>
          <w:sz w:val="22"/>
          <w:szCs w:val="22"/>
        </w:rPr>
        <w:t xml:space="preserve"> </w:t>
      </w:r>
      <w:r w:rsidRPr="005A4EDC">
        <w:rPr>
          <w:rFonts w:ascii="Times New Roman" w:hAnsi="Times New Roman" w:cs="Times New Roman"/>
          <w:i/>
          <w:sz w:val="22"/>
          <w:szCs w:val="22"/>
        </w:rPr>
        <w:t>Reserve</w:t>
      </w:r>
      <w:r>
        <w:rPr>
          <w:rFonts w:ascii="Times New Roman" w:hAnsi="Times New Roman" w:cs="Times New Roman"/>
          <w:sz w:val="22"/>
          <w:szCs w:val="22"/>
        </w:rPr>
        <w:t xml:space="preserve"> </w:t>
      </w:r>
      <w:r w:rsidRPr="00EA1FD3">
        <w:rPr>
          <w:rFonts w:ascii="Times New Roman" w:hAnsi="Times New Roman" w:cs="Times New Roman"/>
          <w:sz w:val="22"/>
          <w:szCs w:val="22"/>
        </w:rPr>
        <w:t>at</w:t>
      </w:r>
      <w:r w:rsidRPr="009B6342">
        <w:rPr>
          <w:rFonts w:ascii="Times New Roman" w:hAnsi="Times New Roman" w:cs="Times New Roman"/>
          <w:sz w:val="22"/>
          <w:szCs w:val="22"/>
        </w:rPr>
        <w:t xml:space="preserve"> page </w:t>
      </w:r>
      <w:r>
        <w:rPr>
          <w:rFonts w:ascii="Times New Roman" w:hAnsi="Times New Roman" w:cs="Times New Roman"/>
          <w:sz w:val="22"/>
          <w:szCs w:val="22"/>
        </w:rPr>
        <w:t>61</w:t>
      </w:r>
      <w:r w:rsidRPr="009B6342">
        <w:rPr>
          <w:rFonts w:ascii="Times New Roman" w:hAnsi="Times New Roman" w:cs="Times New Roman"/>
          <w:sz w:val="22"/>
          <w:szCs w:val="22"/>
        </w:rPr>
        <w:t>.</w:t>
      </w:r>
    </w:p>
    <w:p w14:paraId="2CA280CA" w14:textId="77777777" w:rsidR="00434620" w:rsidRPr="009B6342" w:rsidRDefault="00434620">
      <w:pPr>
        <w:pStyle w:val="EndnoteText"/>
        <w:rPr>
          <w:rFonts w:ascii="Times New Roman" w:hAnsi="Times New Roman" w:cs="Times New Roman"/>
          <w:sz w:val="22"/>
          <w:szCs w:val="22"/>
        </w:rPr>
      </w:pPr>
    </w:p>
  </w:endnote>
  <w:endnote w:id="142">
    <w:p w14:paraId="71339FD2" w14:textId="77777777" w:rsidR="00434620" w:rsidRDefault="00434620" w:rsidP="00B52931">
      <w:pPr>
        <w:pStyle w:val="EndnoteText"/>
        <w:rPr>
          <w:rFonts w:ascii="Times New Roman" w:hAnsi="Times New Roman" w:cs="Times New Roman"/>
          <w:sz w:val="22"/>
          <w:szCs w:val="22"/>
        </w:rPr>
      </w:pPr>
      <w:r w:rsidRPr="009B6342">
        <w:rPr>
          <w:rStyle w:val="EndnoteReference"/>
          <w:rFonts w:ascii="Times New Roman" w:hAnsi="Times New Roman" w:cs="Times New Roman"/>
          <w:sz w:val="22"/>
          <w:szCs w:val="22"/>
        </w:rPr>
        <w:endnoteRef/>
      </w:r>
      <w:r w:rsidRPr="009B6342">
        <w:rPr>
          <w:rFonts w:ascii="Times New Roman" w:hAnsi="Times New Roman" w:cs="Times New Roman"/>
          <w:sz w:val="22"/>
          <w:szCs w:val="22"/>
        </w:rPr>
        <w:t xml:space="preserve"> At </w:t>
      </w:r>
      <w:r w:rsidRPr="005A4EDC">
        <w:rPr>
          <w:rFonts w:ascii="Times New Roman" w:hAnsi="Times New Roman" w:cs="Times New Roman"/>
          <w:i/>
          <w:sz w:val="22"/>
          <w:szCs w:val="22"/>
        </w:rPr>
        <w:t>Reserve</w:t>
      </w:r>
      <w:r>
        <w:rPr>
          <w:rFonts w:ascii="Times New Roman" w:hAnsi="Times New Roman" w:cs="Times New Roman"/>
          <w:sz w:val="22"/>
          <w:szCs w:val="22"/>
        </w:rPr>
        <w:t xml:space="preserve"> at 59-60, </w:t>
      </w:r>
      <w:r w:rsidRPr="009B6342">
        <w:rPr>
          <w:rFonts w:ascii="Times New Roman" w:hAnsi="Times New Roman" w:cs="Times New Roman"/>
          <w:sz w:val="22"/>
          <w:szCs w:val="22"/>
        </w:rPr>
        <w:t xml:space="preserve">the Court stated </w:t>
      </w:r>
      <w:r>
        <w:rPr>
          <w:rFonts w:ascii="Times New Roman" w:hAnsi="Times New Roman" w:cs="Times New Roman"/>
          <w:sz w:val="22"/>
          <w:szCs w:val="22"/>
        </w:rPr>
        <w:t>as follows “</w:t>
      </w:r>
      <w:r w:rsidRPr="00B52931">
        <w:rPr>
          <w:rFonts w:ascii="Times New Roman" w:hAnsi="Times New Roman" w:cs="Times New Roman"/>
          <w:sz w:val="22"/>
          <w:szCs w:val="22"/>
        </w:rPr>
        <w:t>Generally, we conclude that</w:t>
      </w:r>
      <w:r>
        <w:rPr>
          <w:rFonts w:ascii="Times New Roman" w:hAnsi="Times New Roman" w:cs="Times New Roman"/>
          <w:sz w:val="22"/>
          <w:szCs w:val="22"/>
        </w:rPr>
        <w:t xml:space="preserve"> </w:t>
      </w:r>
      <w:r w:rsidRPr="00B52931">
        <w:rPr>
          <w:rFonts w:ascii="Times New Roman" w:hAnsi="Times New Roman" w:cs="Times New Roman"/>
          <w:sz w:val="22"/>
          <w:szCs w:val="22"/>
        </w:rPr>
        <w:t>premiums are reasonable when it can be shown that the amounts agreed</w:t>
      </w:r>
      <w:r>
        <w:rPr>
          <w:rFonts w:ascii="Times New Roman" w:hAnsi="Times New Roman" w:cs="Times New Roman"/>
          <w:sz w:val="22"/>
          <w:szCs w:val="22"/>
        </w:rPr>
        <w:t xml:space="preserve"> </w:t>
      </w:r>
      <w:r w:rsidRPr="00B52931">
        <w:rPr>
          <w:rFonts w:ascii="Times New Roman" w:hAnsi="Times New Roman" w:cs="Times New Roman"/>
          <w:sz w:val="22"/>
          <w:szCs w:val="22"/>
        </w:rPr>
        <w:t>upon by the parties were the result of arm</w:t>
      </w:r>
      <w:r>
        <w:rPr>
          <w:rFonts w:ascii="Times New Roman" w:hAnsi="Times New Roman" w:cs="Times New Roman"/>
          <w:sz w:val="22"/>
          <w:szCs w:val="22"/>
        </w:rPr>
        <w:t>’</w:t>
      </w:r>
      <w:r w:rsidRPr="00B52931">
        <w:rPr>
          <w:rFonts w:ascii="Times New Roman" w:hAnsi="Times New Roman" w:cs="Times New Roman"/>
          <w:sz w:val="22"/>
          <w:szCs w:val="22"/>
        </w:rPr>
        <w:t xml:space="preserve">s-length negotiations. </w:t>
      </w:r>
      <w:r w:rsidRPr="00240DFC">
        <w:rPr>
          <w:rFonts w:ascii="Times New Roman" w:hAnsi="Times New Roman" w:cs="Times New Roman"/>
          <w:i/>
          <w:sz w:val="22"/>
          <w:szCs w:val="22"/>
        </w:rPr>
        <w:t>See R.V.I. Guar. Co. &amp; Subs. v. Commissioner</w:t>
      </w:r>
      <w:r w:rsidRPr="00B52931">
        <w:rPr>
          <w:rFonts w:ascii="Times New Roman" w:hAnsi="Times New Roman" w:cs="Times New Roman"/>
          <w:sz w:val="22"/>
          <w:szCs w:val="22"/>
        </w:rPr>
        <w:t xml:space="preserve">, 145 T.C. at 231-232; </w:t>
      </w:r>
      <w:r w:rsidRPr="00A2631B">
        <w:rPr>
          <w:rFonts w:ascii="Times New Roman" w:hAnsi="Times New Roman" w:cs="Times New Roman"/>
          <w:i/>
          <w:sz w:val="22"/>
          <w:szCs w:val="22"/>
        </w:rPr>
        <w:t>Harper Grp. v. Commissioner</w:t>
      </w:r>
      <w:r w:rsidRPr="00B52931">
        <w:rPr>
          <w:rFonts w:ascii="Times New Roman" w:hAnsi="Times New Roman" w:cs="Times New Roman"/>
          <w:sz w:val="22"/>
          <w:szCs w:val="22"/>
        </w:rPr>
        <w:t>,</w:t>
      </w:r>
      <w:r>
        <w:rPr>
          <w:rFonts w:ascii="Times New Roman" w:hAnsi="Times New Roman" w:cs="Times New Roman"/>
          <w:sz w:val="22"/>
          <w:szCs w:val="22"/>
        </w:rPr>
        <w:t xml:space="preserve"> </w:t>
      </w:r>
      <w:r w:rsidRPr="00B52931">
        <w:rPr>
          <w:rFonts w:ascii="Times New Roman" w:hAnsi="Times New Roman" w:cs="Times New Roman"/>
          <w:sz w:val="22"/>
          <w:szCs w:val="22"/>
        </w:rPr>
        <w:t>96 T.C. at 60. In determining whether an arrangement constitutes insurance in the</w:t>
      </w:r>
      <w:r>
        <w:rPr>
          <w:rFonts w:ascii="Times New Roman" w:hAnsi="Times New Roman" w:cs="Times New Roman"/>
          <w:sz w:val="22"/>
          <w:szCs w:val="22"/>
        </w:rPr>
        <w:t xml:space="preserve"> </w:t>
      </w:r>
      <w:r w:rsidRPr="00B52931">
        <w:rPr>
          <w:rFonts w:ascii="Times New Roman" w:hAnsi="Times New Roman" w:cs="Times New Roman"/>
          <w:sz w:val="22"/>
          <w:szCs w:val="22"/>
        </w:rPr>
        <w:t>commonly accepted sense we consider more than whether the premiums chosen</w:t>
      </w:r>
      <w:r>
        <w:rPr>
          <w:rFonts w:ascii="Times New Roman" w:hAnsi="Times New Roman" w:cs="Times New Roman"/>
          <w:sz w:val="22"/>
          <w:szCs w:val="22"/>
        </w:rPr>
        <w:t xml:space="preserve"> </w:t>
      </w:r>
      <w:r w:rsidRPr="00B52931">
        <w:rPr>
          <w:rFonts w:ascii="Times New Roman" w:hAnsi="Times New Roman" w:cs="Times New Roman"/>
          <w:sz w:val="22"/>
          <w:szCs w:val="22"/>
        </w:rPr>
        <w:t>can be arrived at by actuarial means. We consider whether the facts demonstrate</w:t>
      </w:r>
      <w:r>
        <w:rPr>
          <w:rFonts w:ascii="Times New Roman" w:hAnsi="Times New Roman" w:cs="Times New Roman"/>
          <w:sz w:val="22"/>
          <w:szCs w:val="22"/>
        </w:rPr>
        <w:t xml:space="preserve"> </w:t>
      </w:r>
      <w:r w:rsidRPr="00B52931">
        <w:rPr>
          <w:rFonts w:ascii="Times New Roman" w:hAnsi="Times New Roman" w:cs="Times New Roman"/>
          <w:sz w:val="22"/>
          <w:szCs w:val="22"/>
        </w:rPr>
        <w:t>that the terms of the arrangement were driven by arm</w:t>
      </w:r>
      <w:r>
        <w:rPr>
          <w:rFonts w:ascii="Times New Roman" w:hAnsi="Times New Roman" w:cs="Times New Roman"/>
          <w:sz w:val="22"/>
          <w:szCs w:val="22"/>
        </w:rPr>
        <w:t>’</w:t>
      </w:r>
      <w:r w:rsidRPr="00B52931">
        <w:rPr>
          <w:rFonts w:ascii="Times New Roman" w:hAnsi="Times New Roman" w:cs="Times New Roman"/>
          <w:sz w:val="22"/>
          <w:szCs w:val="22"/>
        </w:rPr>
        <w:t xml:space="preserve">s-length considerations. </w:t>
      </w:r>
      <w:r w:rsidRPr="00A2631B">
        <w:rPr>
          <w:rFonts w:ascii="Times New Roman" w:hAnsi="Times New Roman" w:cs="Times New Roman"/>
          <w:i/>
          <w:sz w:val="22"/>
          <w:szCs w:val="22"/>
        </w:rPr>
        <w:t>See R.V.I. Guar. Co. &amp; Subs. v. Commissioner</w:t>
      </w:r>
      <w:r w:rsidRPr="00B52931">
        <w:rPr>
          <w:rFonts w:ascii="Times New Roman" w:hAnsi="Times New Roman" w:cs="Times New Roman"/>
          <w:sz w:val="22"/>
          <w:szCs w:val="22"/>
        </w:rPr>
        <w:t>, 145 T.C. at 234-235 (finding the</w:t>
      </w:r>
      <w:r>
        <w:rPr>
          <w:rFonts w:ascii="Times New Roman" w:hAnsi="Times New Roman" w:cs="Times New Roman"/>
          <w:sz w:val="22"/>
          <w:szCs w:val="22"/>
        </w:rPr>
        <w:t xml:space="preserve"> </w:t>
      </w:r>
      <w:r w:rsidRPr="00B52931">
        <w:rPr>
          <w:rFonts w:ascii="Times New Roman" w:hAnsi="Times New Roman" w:cs="Times New Roman"/>
          <w:sz w:val="22"/>
          <w:szCs w:val="22"/>
        </w:rPr>
        <w:t>subject policies constituted insurance in the commonly accepted sense because the</w:t>
      </w:r>
      <w:r>
        <w:rPr>
          <w:rFonts w:ascii="Times New Roman" w:hAnsi="Times New Roman" w:cs="Times New Roman"/>
          <w:sz w:val="22"/>
          <w:szCs w:val="22"/>
        </w:rPr>
        <w:t xml:space="preserve"> </w:t>
      </w:r>
      <w:r w:rsidRPr="00B52931">
        <w:rPr>
          <w:rFonts w:ascii="Times New Roman" w:hAnsi="Times New Roman" w:cs="Times New Roman"/>
          <w:sz w:val="22"/>
          <w:szCs w:val="22"/>
        </w:rPr>
        <w:t>policies</w:t>
      </w:r>
      <w:r>
        <w:rPr>
          <w:rFonts w:ascii="Times New Roman" w:hAnsi="Times New Roman" w:cs="Times New Roman"/>
          <w:sz w:val="22"/>
          <w:szCs w:val="22"/>
        </w:rPr>
        <w:t>’</w:t>
      </w:r>
      <w:r w:rsidRPr="00B52931">
        <w:rPr>
          <w:rFonts w:ascii="Times New Roman" w:hAnsi="Times New Roman" w:cs="Times New Roman"/>
          <w:sz w:val="22"/>
          <w:szCs w:val="22"/>
        </w:rPr>
        <w:t xml:space="preserve"> terms </w:t>
      </w:r>
      <w:r>
        <w:rPr>
          <w:rFonts w:ascii="Times New Roman" w:hAnsi="Times New Roman" w:cs="Times New Roman"/>
          <w:sz w:val="22"/>
          <w:szCs w:val="22"/>
        </w:rPr>
        <w:t>“</w:t>
      </w:r>
      <w:r w:rsidRPr="00B52931">
        <w:rPr>
          <w:rFonts w:ascii="Times New Roman" w:hAnsi="Times New Roman" w:cs="Times New Roman"/>
          <w:sz w:val="22"/>
          <w:szCs w:val="22"/>
        </w:rPr>
        <w:t>correspond to, and are driven by, the characteristics and business</w:t>
      </w:r>
      <w:r>
        <w:rPr>
          <w:rFonts w:ascii="Times New Roman" w:hAnsi="Times New Roman" w:cs="Times New Roman"/>
          <w:sz w:val="22"/>
          <w:szCs w:val="22"/>
        </w:rPr>
        <w:t xml:space="preserve"> </w:t>
      </w:r>
      <w:r w:rsidRPr="00B52931">
        <w:rPr>
          <w:rFonts w:ascii="Times New Roman" w:hAnsi="Times New Roman" w:cs="Times New Roman"/>
          <w:sz w:val="22"/>
          <w:szCs w:val="22"/>
        </w:rPr>
        <w:t>needs of the underlying * * * transactions</w:t>
      </w:r>
      <w:r>
        <w:rPr>
          <w:rFonts w:ascii="Times New Roman" w:hAnsi="Times New Roman" w:cs="Times New Roman"/>
          <w:sz w:val="22"/>
          <w:szCs w:val="22"/>
        </w:rPr>
        <w:t>”</w:t>
      </w:r>
      <w:r w:rsidRPr="00B52931">
        <w:rPr>
          <w:rFonts w:ascii="Times New Roman" w:hAnsi="Times New Roman" w:cs="Times New Roman"/>
          <w:sz w:val="22"/>
          <w:szCs w:val="22"/>
        </w:rPr>
        <w:t>).</w:t>
      </w:r>
      <w:r>
        <w:rPr>
          <w:rFonts w:ascii="Times New Roman" w:hAnsi="Times New Roman" w:cs="Times New Roman"/>
          <w:sz w:val="22"/>
          <w:szCs w:val="22"/>
        </w:rPr>
        <w:t>”</w:t>
      </w:r>
    </w:p>
    <w:p w14:paraId="64871E58" w14:textId="77777777" w:rsidR="00434620" w:rsidRPr="009B6342" w:rsidRDefault="00434620" w:rsidP="00B52931">
      <w:pPr>
        <w:pStyle w:val="EndnoteText"/>
        <w:rPr>
          <w:rFonts w:ascii="Times New Roman" w:hAnsi="Times New Roman" w:cs="Times New Roman"/>
          <w:sz w:val="22"/>
          <w:szCs w:val="22"/>
        </w:rPr>
      </w:pPr>
    </w:p>
  </w:endnote>
  <w:endnote w:id="143">
    <w:p w14:paraId="3DBCC9F7" w14:textId="41937526" w:rsidR="00434620" w:rsidRPr="0084497D" w:rsidRDefault="00434620">
      <w:pPr>
        <w:pStyle w:val="EndnoteText"/>
        <w:rPr>
          <w:rFonts w:ascii="Times New Roman" w:hAnsi="Times New Roman" w:cs="Times New Roman"/>
          <w:sz w:val="22"/>
          <w:szCs w:val="22"/>
        </w:rPr>
      </w:pPr>
      <w:r w:rsidRPr="00D53A6D">
        <w:rPr>
          <w:rStyle w:val="EndnoteReference"/>
          <w:rFonts w:ascii="Times New Roman" w:hAnsi="Times New Roman" w:cs="Times New Roman"/>
          <w:sz w:val="22"/>
          <w:szCs w:val="22"/>
        </w:rPr>
        <w:endnoteRef/>
      </w:r>
      <w:r w:rsidRPr="00D53A6D">
        <w:rPr>
          <w:rFonts w:ascii="Times New Roman" w:hAnsi="Times New Roman" w:cs="Times New Roman"/>
          <w:sz w:val="22"/>
          <w:szCs w:val="22"/>
        </w:rPr>
        <w:t xml:space="preserve"> </w:t>
      </w:r>
      <w:r w:rsidRPr="00045292">
        <w:rPr>
          <w:rFonts w:ascii="Times New Roman" w:hAnsi="Times New Roman" w:cs="Times New Roman"/>
          <w:i/>
          <w:sz w:val="22"/>
          <w:szCs w:val="22"/>
        </w:rPr>
        <w:t>See</w:t>
      </w:r>
      <w:r>
        <w:rPr>
          <w:rFonts w:ascii="Times New Roman" w:hAnsi="Times New Roman" w:cs="Times New Roman"/>
          <w:sz w:val="22"/>
          <w:szCs w:val="22"/>
        </w:rPr>
        <w:t xml:space="preserve"> Note 81 supra.  </w:t>
      </w:r>
      <w:r w:rsidRPr="00050EFE">
        <w:rPr>
          <w:rFonts w:ascii="Times New Roman" w:hAnsi="Times New Roman" w:cs="Times New Roman"/>
          <w:sz w:val="22"/>
          <w:szCs w:val="22"/>
        </w:rPr>
        <w:t xml:space="preserve">Congress clearly envisioned </w:t>
      </w:r>
      <w:r>
        <w:rPr>
          <w:rFonts w:ascii="Times New Roman" w:hAnsi="Times New Roman" w:cs="Times New Roman"/>
          <w:sz w:val="22"/>
          <w:szCs w:val="22"/>
        </w:rPr>
        <w:t xml:space="preserve">that </w:t>
      </w:r>
      <w:r w:rsidRPr="00050EFE">
        <w:rPr>
          <w:rFonts w:ascii="Times New Roman" w:hAnsi="Times New Roman" w:cs="Times New Roman"/>
          <w:sz w:val="22"/>
          <w:szCs w:val="22"/>
        </w:rPr>
        <w:t>the insureds and the insurer would be related</w:t>
      </w:r>
      <w:r>
        <w:rPr>
          <w:rFonts w:ascii="Times New Roman" w:hAnsi="Times New Roman" w:cs="Times New Roman"/>
          <w:sz w:val="22"/>
          <w:szCs w:val="22"/>
        </w:rPr>
        <w:t xml:space="preserve"> parties </w:t>
      </w:r>
      <w:r w:rsidRPr="005D2E99">
        <w:rPr>
          <w:rFonts w:ascii="Times New Roman" w:hAnsi="Times New Roman" w:cs="Times New Roman"/>
          <w:sz w:val="22"/>
          <w:szCs w:val="22"/>
        </w:rPr>
        <w:t xml:space="preserve">in the vast majority of </w:t>
      </w:r>
      <w:r>
        <w:rPr>
          <w:rFonts w:ascii="Times New Roman" w:hAnsi="Times New Roman" w:cs="Times New Roman"/>
          <w:sz w:val="22"/>
          <w:szCs w:val="22"/>
        </w:rPr>
        <w:t>situations</w:t>
      </w:r>
      <w:r w:rsidRPr="005D2E99">
        <w:rPr>
          <w:rFonts w:ascii="Times New Roman" w:hAnsi="Times New Roman" w:cs="Times New Roman"/>
          <w:sz w:val="22"/>
          <w:szCs w:val="22"/>
        </w:rPr>
        <w:t xml:space="preserve"> of an insurance company operating under IRC §831(b)</w:t>
      </w:r>
      <w:r w:rsidRPr="00050EFE">
        <w:rPr>
          <w:rFonts w:ascii="Times New Roman" w:hAnsi="Times New Roman" w:cs="Times New Roman"/>
          <w:sz w:val="22"/>
          <w:szCs w:val="22"/>
        </w:rPr>
        <w:t>,</w:t>
      </w:r>
      <w:r>
        <w:rPr>
          <w:rFonts w:ascii="Times New Roman" w:hAnsi="Times New Roman" w:cs="Times New Roman"/>
          <w:sz w:val="22"/>
          <w:szCs w:val="22"/>
        </w:rPr>
        <w:t xml:space="preserve"> as</w:t>
      </w:r>
      <w:r w:rsidRPr="00050EFE">
        <w:rPr>
          <w:rFonts w:ascii="Times New Roman" w:hAnsi="Times New Roman" w:cs="Times New Roman"/>
          <w:sz w:val="22"/>
          <w:szCs w:val="22"/>
        </w:rPr>
        <w:t xml:space="preserve"> </w:t>
      </w:r>
      <w:r w:rsidRPr="0084497D">
        <w:rPr>
          <w:rFonts w:ascii="Times New Roman" w:hAnsi="Times New Roman" w:cs="Times New Roman"/>
          <w:sz w:val="22"/>
          <w:szCs w:val="22"/>
        </w:rPr>
        <w:t>reflected by recent amendments to IRC §831(b) under the Consolidated Appropriations Act of 2015, also known more commonly as the Protecting Americans From Tax Hikes Act (the “PATH” Act) of 2015.</w:t>
      </w:r>
    </w:p>
    <w:p w14:paraId="0E9CF06F" w14:textId="77777777" w:rsidR="00434620" w:rsidRPr="0084497D" w:rsidRDefault="00434620">
      <w:pPr>
        <w:pStyle w:val="EndnoteText"/>
        <w:rPr>
          <w:rFonts w:ascii="Times New Roman" w:hAnsi="Times New Roman" w:cs="Times New Roman"/>
          <w:sz w:val="22"/>
          <w:szCs w:val="22"/>
        </w:rPr>
      </w:pPr>
    </w:p>
  </w:endnote>
  <w:endnote w:id="144">
    <w:p w14:paraId="35C094C9" w14:textId="77777777" w:rsidR="00434620" w:rsidRPr="0084497D" w:rsidRDefault="00434620" w:rsidP="000B6BA7">
      <w:pPr>
        <w:pStyle w:val="EndnoteText"/>
        <w:jc w:val="both"/>
        <w:rPr>
          <w:rFonts w:ascii="Times New Roman" w:hAnsi="Times New Roman" w:cs="Times New Roman"/>
          <w:sz w:val="22"/>
          <w:szCs w:val="22"/>
        </w:rPr>
      </w:pPr>
      <w:r w:rsidRPr="0084497D">
        <w:rPr>
          <w:rStyle w:val="EndnoteReference"/>
          <w:rFonts w:ascii="Times New Roman" w:hAnsi="Times New Roman" w:cs="Times New Roman"/>
          <w:sz w:val="22"/>
          <w:szCs w:val="22"/>
        </w:rPr>
        <w:endnoteRef/>
      </w:r>
      <w:r w:rsidRPr="0084497D">
        <w:rPr>
          <w:rFonts w:ascii="Times New Roman" w:hAnsi="Times New Roman" w:cs="Times New Roman"/>
          <w:sz w:val="22"/>
          <w:szCs w:val="22"/>
        </w:rPr>
        <w:t xml:space="preserve"> </w:t>
      </w:r>
      <w:bookmarkStart w:id="48" w:name="_Hlk506475141"/>
      <w:r w:rsidRPr="0084497D">
        <w:rPr>
          <w:rFonts w:ascii="Times New Roman" w:hAnsi="Times New Roman" w:cs="Times New Roman"/>
          <w:sz w:val="22"/>
          <w:szCs w:val="22"/>
        </w:rPr>
        <w:t>96 T.C. 45 (1991), aff’d, 979 F.2d. 1341 (9th Cir. 1992).</w:t>
      </w:r>
      <w:bookmarkEnd w:id="48"/>
    </w:p>
    <w:p w14:paraId="3818C148" w14:textId="77777777" w:rsidR="00434620" w:rsidRPr="00C02DD1" w:rsidRDefault="00434620" w:rsidP="000B6BA7">
      <w:pPr>
        <w:pStyle w:val="EndnoteText"/>
        <w:jc w:val="both"/>
        <w:rPr>
          <w:rFonts w:ascii="Times New Roman" w:hAnsi="Times New Roman" w:cs="Times New Roman"/>
          <w:sz w:val="22"/>
          <w:szCs w:val="22"/>
        </w:rPr>
      </w:pPr>
    </w:p>
  </w:endnote>
  <w:endnote w:id="145">
    <w:p w14:paraId="28BBADF7" w14:textId="77777777" w:rsidR="00434620" w:rsidRPr="00C02DD1" w:rsidRDefault="00434620">
      <w:pPr>
        <w:pStyle w:val="EndnoteText"/>
        <w:rPr>
          <w:rFonts w:ascii="Times New Roman" w:hAnsi="Times New Roman" w:cs="Times New Roman"/>
          <w:sz w:val="22"/>
          <w:szCs w:val="22"/>
        </w:rPr>
      </w:pPr>
      <w:r w:rsidRPr="00C02DD1">
        <w:rPr>
          <w:rStyle w:val="EndnoteReference"/>
          <w:rFonts w:ascii="Times New Roman" w:hAnsi="Times New Roman" w:cs="Times New Roman"/>
          <w:sz w:val="22"/>
          <w:szCs w:val="22"/>
        </w:rPr>
        <w:endnoteRef/>
      </w:r>
      <w:r w:rsidRPr="00C02DD1">
        <w:rPr>
          <w:rFonts w:ascii="Times New Roman" w:hAnsi="Times New Roman" w:cs="Times New Roman"/>
          <w:sz w:val="22"/>
          <w:szCs w:val="22"/>
        </w:rPr>
        <w:t xml:space="preserve"> </w:t>
      </w:r>
      <w:r w:rsidRPr="00045292">
        <w:rPr>
          <w:rFonts w:ascii="Times New Roman" w:hAnsi="Times New Roman" w:cs="Times New Roman"/>
          <w:i/>
          <w:sz w:val="22"/>
          <w:szCs w:val="22"/>
        </w:rPr>
        <w:t>See</w:t>
      </w:r>
      <w:r w:rsidRPr="00C02DD1">
        <w:rPr>
          <w:rFonts w:ascii="Times New Roman" w:hAnsi="Times New Roman" w:cs="Times New Roman"/>
          <w:sz w:val="22"/>
          <w:szCs w:val="22"/>
        </w:rPr>
        <w:t xml:space="preserve"> </w:t>
      </w:r>
      <w:r w:rsidRPr="00C02DD1">
        <w:rPr>
          <w:rFonts w:ascii="Times New Roman" w:hAnsi="Times New Roman" w:cs="Times New Roman"/>
          <w:i/>
          <w:sz w:val="22"/>
          <w:szCs w:val="22"/>
        </w:rPr>
        <w:t>Harper</w:t>
      </w:r>
      <w:r w:rsidRPr="00C02DD1">
        <w:rPr>
          <w:rFonts w:ascii="Times New Roman" w:hAnsi="Times New Roman" w:cs="Times New Roman"/>
          <w:sz w:val="22"/>
          <w:szCs w:val="22"/>
        </w:rPr>
        <w:t xml:space="preserve"> at 50.</w:t>
      </w:r>
    </w:p>
    <w:p w14:paraId="430DA928" w14:textId="77777777" w:rsidR="00434620" w:rsidRPr="00C02DD1" w:rsidRDefault="00434620">
      <w:pPr>
        <w:pStyle w:val="EndnoteText"/>
        <w:rPr>
          <w:rFonts w:ascii="Times New Roman" w:hAnsi="Times New Roman" w:cs="Times New Roman"/>
          <w:sz w:val="22"/>
          <w:szCs w:val="22"/>
        </w:rPr>
      </w:pPr>
    </w:p>
  </w:endnote>
  <w:endnote w:id="146">
    <w:p w14:paraId="7E1F47DB" w14:textId="77777777" w:rsidR="00434620" w:rsidRPr="005C3138" w:rsidRDefault="00434620">
      <w:pPr>
        <w:pStyle w:val="EndnoteText"/>
        <w:rPr>
          <w:rFonts w:ascii="Times New Roman" w:hAnsi="Times New Roman" w:cs="Times New Roman"/>
          <w:sz w:val="22"/>
          <w:szCs w:val="22"/>
        </w:rPr>
      </w:pPr>
      <w:r w:rsidRPr="005C3138">
        <w:rPr>
          <w:rStyle w:val="EndnoteReference"/>
          <w:rFonts w:ascii="Times New Roman" w:hAnsi="Times New Roman" w:cs="Times New Roman"/>
          <w:sz w:val="22"/>
          <w:szCs w:val="22"/>
        </w:rPr>
        <w:endnoteRef/>
      </w:r>
      <w:r w:rsidRPr="005C3138">
        <w:rPr>
          <w:rFonts w:ascii="Times New Roman" w:hAnsi="Times New Roman" w:cs="Times New Roman"/>
          <w:sz w:val="22"/>
          <w:szCs w:val="22"/>
        </w:rPr>
        <w:t xml:space="preserve"> </w:t>
      </w:r>
      <w:r w:rsidRPr="005C3138">
        <w:rPr>
          <w:rFonts w:ascii="Times New Roman" w:hAnsi="Times New Roman" w:cs="Times New Roman"/>
          <w:i/>
          <w:sz w:val="22"/>
          <w:szCs w:val="22"/>
        </w:rPr>
        <w:t>Id</w:t>
      </w:r>
      <w:r w:rsidRPr="005C3138">
        <w:rPr>
          <w:rFonts w:ascii="Times New Roman" w:hAnsi="Times New Roman" w:cs="Times New Roman"/>
          <w:sz w:val="22"/>
          <w:szCs w:val="22"/>
        </w:rPr>
        <w:t>.</w:t>
      </w:r>
      <w:r>
        <w:rPr>
          <w:rFonts w:ascii="Times New Roman" w:hAnsi="Times New Roman" w:cs="Times New Roman"/>
          <w:sz w:val="22"/>
          <w:szCs w:val="22"/>
        </w:rPr>
        <w:t xml:space="preserve"> (emphasis added).</w:t>
      </w:r>
    </w:p>
    <w:p w14:paraId="1114A515" w14:textId="77777777" w:rsidR="00434620" w:rsidRPr="005C3138" w:rsidRDefault="00434620">
      <w:pPr>
        <w:pStyle w:val="EndnoteText"/>
        <w:rPr>
          <w:rFonts w:ascii="Times New Roman" w:hAnsi="Times New Roman" w:cs="Times New Roman"/>
          <w:sz w:val="22"/>
          <w:szCs w:val="22"/>
        </w:rPr>
      </w:pPr>
    </w:p>
  </w:endnote>
  <w:endnote w:id="147">
    <w:p w14:paraId="600DC84E" w14:textId="77777777" w:rsidR="00434620" w:rsidRDefault="00434620">
      <w:pPr>
        <w:pStyle w:val="EndnoteText"/>
        <w:rPr>
          <w:rFonts w:ascii="Times New Roman" w:hAnsi="Times New Roman" w:cs="Times New Roman"/>
          <w:sz w:val="22"/>
          <w:szCs w:val="22"/>
        </w:rPr>
      </w:pPr>
      <w:r w:rsidRPr="005C3138">
        <w:rPr>
          <w:rStyle w:val="EndnoteReference"/>
          <w:rFonts w:ascii="Times New Roman" w:hAnsi="Times New Roman" w:cs="Times New Roman"/>
          <w:sz w:val="22"/>
          <w:szCs w:val="22"/>
        </w:rPr>
        <w:endnoteRef/>
      </w:r>
      <w:r w:rsidRPr="005C3138">
        <w:rPr>
          <w:rFonts w:ascii="Times New Roman" w:hAnsi="Times New Roman" w:cs="Times New Roman"/>
          <w:sz w:val="22"/>
          <w:szCs w:val="22"/>
        </w:rPr>
        <w:t xml:space="preserve"> </w:t>
      </w:r>
      <w:r w:rsidRPr="005C3138">
        <w:rPr>
          <w:rFonts w:ascii="Times New Roman" w:hAnsi="Times New Roman" w:cs="Times New Roman"/>
          <w:i/>
          <w:sz w:val="22"/>
          <w:szCs w:val="22"/>
        </w:rPr>
        <w:t>Id</w:t>
      </w:r>
      <w:r>
        <w:rPr>
          <w:rFonts w:ascii="Times New Roman" w:hAnsi="Times New Roman" w:cs="Times New Roman"/>
          <w:sz w:val="22"/>
          <w:szCs w:val="22"/>
        </w:rPr>
        <w:t>.  (emphasis added).</w:t>
      </w:r>
    </w:p>
    <w:p w14:paraId="0BCA4296" w14:textId="77777777" w:rsidR="00434620" w:rsidRPr="005C3138" w:rsidRDefault="00434620">
      <w:pPr>
        <w:pStyle w:val="EndnoteText"/>
        <w:rPr>
          <w:rFonts w:ascii="Times New Roman" w:hAnsi="Times New Roman" w:cs="Times New Roman"/>
          <w:sz w:val="22"/>
          <w:szCs w:val="22"/>
        </w:rPr>
      </w:pPr>
    </w:p>
  </w:endnote>
  <w:endnote w:id="148">
    <w:p w14:paraId="69693DB2" w14:textId="77777777" w:rsidR="00434620" w:rsidRDefault="00434620">
      <w:pPr>
        <w:pStyle w:val="EndnoteText"/>
        <w:rPr>
          <w:rFonts w:ascii="Times New Roman" w:hAnsi="Times New Roman" w:cs="Times New Roman"/>
          <w:sz w:val="22"/>
          <w:szCs w:val="22"/>
        </w:rPr>
      </w:pPr>
      <w:r w:rsidRPr="009F0F19">
        <w:rPr>
          <w:rStyle w:val="EndnoteReference"/>
          <w:rFonts w:ascii="Times New Roman" w:hAnsi="Times New Roman" w:cs="Times New Roman"/>
          <w:sz w:val="22"/>
          <w:szCs w:val="22"/>
        </w:rPr>
        <w:endnoteRef/>
      </w:r>
      <w:r w:rsidRPr="009F0F19">
        <w:rPr>
          <w:rFonts w:ascii="Times New Roman" w:hAnsi="Times New Roman" w:cs="Times New Roman"/>
          <w:sz w:val="22"/>
          <w:szCs w:val="22"/>
        </w:rPr>
        <w:t xml:space="preserve"> </w:t>
      </w:r>
      <w:r w:rsidRPr="009F0F19">
        <w:rPr>
          <w:rFonts w:ascii="Times New Roman" w:hAnsi="Times New Roman" w:cs="Times New Roman"/>
          <w:i/>
          <w:sz w:val="22"/>
          <w:szCs w:val="22"/>
        </w:rPr>
        <w:t>Id</w:t>
      </w:r>
      <w:r w:rsidRPr="009F0F19">
        <w:rPr>
          <w:rFonts w:ascii="Times New Roman" w:hAnsi="Times New Roman" w:cs="Times New Roman"/>
          <w:sz w:val="22"/>
          <w:szCs w:val="22"/>
        </w:rPr>
        <w:t>. at 60.</w:t>
      </w:r>
    </w:p>
    <w:p w14:paraId="0570C144" w14:textId="77777777" w:rsidR="00434620" w:rsidRPr="009F0F19" w:rsidRDefault="00434620">
      <w:pPr>
        <w:pStyle w:val="EndnoteText"/>
        <w:rPr>
          <w:rFonts w:ascii="Times New Roman" w:hAnsi="Times New Roman" w:cs="Times New Roman"/>
          <w:sz w:val="22"/>
          <w:szCs w:val="22"/>
        </w:rPr>
      </w:pPr>
    </w:p>
  </w:endnote>
  <w:endnote w:id="149">
    <w:p w14:paraId="51B2FAE2" w14:textId="7E9D1046" w:rsidR="00434620" w:rsidRDefault="00434620" w:rsidP="00D37334">
      <w:pPr>
        <w:pStyle w:val="EndnoteText"/>
        <w:rPr>
          <w:rFonts w:ascii="Times New Roman" w:hAnsi="Times New Roman" w:cs="Times New Roman"/>
          <w:sz w:val="22"/>
          <w:szCs w:val="22"/>
        </w:rPr>
      </w:pPr>
      <w:r w:rsidRPr="009F0F19">
        <w:rPr>
          <w:rStyle w:val="EndnoteReference"/>
          <w:rFonts w:ascii="Times New Roman" w:hAnsi="Times New Roman" w:cs="Times New Roman"/>
          <w:sz w:val="22"/>
          <w:szCs w:val="22"/>
        </w:rPr>
        <w:endnoteRef/>
      </w:r>
      <w:r w:rsidRPr="009F0F19">
        <w:rPr>
          <w:rFonts w:ascii="Times New Roman" w:hAnsi="Times New Roman" w:cs="Times New Roman"/>
          <w:sz w:val="22"/>
          <w:szCs w:val="22"/>
        </w:rPr>
        <w:t xml:space="preserve"> </w:t>
      </w:r>
      <w:r w:rsidRPr="00045292">
        <w:rPr>
          <w:rFonts w:ascii="Times New Roman" w:hAnsi="Times New Roman" w:cs="Times New Roman"/>
          <w:i/>
          <w:sz w:val="22"/>
          <w:szCs w:val="22"/>
        </w:rPr>
        <w:t>See</w:t>
      </w:r>
      <w:r w:rsidRPr="00F00AE2">
        <w:rPr>
          <w:rFonts w:ascii="Times New Roman" w:hAnsi="Times New Roman" w:cs="Times New Roman"/>
          <w:sz w:val="22"/>
          <w:szCs w:val="22"/>
        </w:rPr>
        <w:t xml:space="preserve"> Exhibit 107-P</w:t>
      </w:r>
      <w:r>
        <w:rPr>
          <w:rFonts w:ascii="Times New Roman" w:hAnsi="Times New Roman" w:cs="Times New Roman"/>
          <w:sz w:val="22"/>
          <w:szCs w:val="22"/>
        </w:rPr>
        <w:t xml:space="preserve">, Rebuttal Expert Report of Dr. Neil Doherty </w:t>
      </w:r>
      <w:r w:rsidRPr="00F00AE2">
        <w:rPr>
          <w:rFonts w:ascii="Times New Roman" w:hAnsi="Times New Roman" w:cs="Times New Roman"/>
          <w:sz w:val="22"/>
          <w:szCs w:val="22"/>
        </w:rPr>
        <w:t>(Rebuttal of Expert Report of Mr. Donald J. Riggin, April 5, 2017), page</w:t>
      </w:r>
      <w:r>
        <w:rPr>
          <w:rFonts w:ascii="Times New Roman" w:hAnsi="Times New Roman" w:cs="Times New Roman"/>
          <w:sz w:val="22"/>
          <w:szCs w:val="22"/>
        </w:rPr>
        <w:t>s</w:t>
      </w:r>
      <w:r w:rsidRPr="00F00AE2">
        <w:rPr>
          <w:rFonts w:ascii="Times New Roman" w:hAnsi="Times New Roman" w:cs="Times New Roman"/>
          <w:sz w:val="22"/>
          <w:szCs w:val="22"/>
        </w:rPr>
        <w:t xml:space="preserve"> </w:t>
      </w:r>
      <w:r>
        <w:rPr>
          <w:rFonts w:ascii="Times New Roman" w:hAnsi="Times New Roman" w:cs="Times New Roman"/>
          <w:sz w:val="22"/>
          <w:szCs w:val="22"/>
        </w:rPr>
        <w:t>5-7</w:t>
      </w:r>
      <w:r w:rsidRPr="00F00AE2">
        <w:rPr>
          <w:rFonts w:ascii="Times New Roman" w:hAnsi="Times New Roman" w:cs="Times New Roman"/>
          <w:sz w:val="22"/>
          <w:szCs w:val="22"/>
        </w:rPr>
        <w:t xml:space="preserve">.  </w:t>
      </w:r>
      <w:r>
        <w:rPr>
          <w:rFonts w:ascii="Times New Roman" w:hAnsi="Times New Roman" w:cs="Times New Roman"/>
          <w:sz w:val="22"/>
          <w:szCs w:val="22"/>
        </w:rPr>
        <w:t>I</w:t>
      </w:r>
      <w:r w:rsidRPr="00820019">
        <w:rPr>
          <w:rFonts w:ascii="Times New Roman" w:hAnsi="Times New Roman" w:cs="Times New Roman"/>
          <w:sz w:val="22"/>
          <w:szCs w:val="22"/>
        </w:rPr>
        <w:t xml:space="preserve">n his rebuttal expert report to Mr. Riggin’s expert report, Dr. Doherty refuted Mr. Riggin’s claim that a lack of loss history was necessary for </w:t>
      </w:r>
      <w:r>
        <w:rPr>
          <w:rFonts w:ascii="Times New Roman" w:hAnsi="Times New Roman" w:cs="Times New Roman"/>
          <w:sz w:val="22"/>
          <w:szCs w:val="22"/>
        </w:rPr>
        <w:t>Reserve</w:t>
      </w:r>
      <w:r w:rsidRPr="00820019">
        <w:rPr>
          <w:rFonts w:ascii="Times New Roman" w:hAnsi="Times New Roman" w:cs="Times New Roman"/>
          <w:sz w:val="22"/>
          <w:szCs w:val="22"/>
        </w:rPr>
        <w:t xml:space="preserve"> to be able to determine premiums.  Dr. Doherty explained that Reserve’s policies insured “unusual and new risks” that “typically are not supported by a long and large loss history” and characterized Reserve’s rate setting process as “one of expert opinion, which draws on extensive market experience of rates for a variety of risks</w:t>
      </w:r>
      <w:r w:rsidRPr="00D37334">
        <w:rPr>
          <w:rFonts w:ascii="Times New Roman" w:hAnsi="Times New Roman" w:cs="Times New Roman"/>
          <w:sz w:val="22"/>
          <w:szCs w:val="22"/>
        </w:rPr>
        <w:t>, market conditions, prevailing rates for somewhat comparable risks (both within and outside the Capstone program), third party review, and, to the extent possible, historical data.”  Dr. Doherty further noted that “actuarial input is not too far removed from these expert opinion rates” and that “because such expert opinion rates draw closely on market rates for comparable risks, and these market rates usually draw on actuarial input, this is a form of bootstrapping on actuarial methods and data.”  Dr. Doherty concluded that Reserve</w:t>
      </w:r>
      <w:r>
        <w:rPr>
          <w:rFonts w:ascii="Times New Roman" w:hAnsi="Times New Roman" w:cs="Times New Roman"/>
          <w:sz w:val="22"/>
          <w:szCs w:val="22"/>
        </w:rPr>
        <w:t>’s process</w:t>
      </w:r>
      <w:r w:rsidRPr="00D37334">
        <w:rPr>
          <w:rFonts w:ascii="Times New Roman" w:hAnsi="Times New Roman" w:cs="Times New Roman"/>
          <w:sz w:val="22"/>
          <w:szCs w:val="22"/>
        </w:rPr>
        <w:t xml:space="preserve"> </w:t>
      </w:r>
      <w:r>
        <w:rPr>
          <w:rFonts w:ascii="Times New Roman" w:hAnsi="Times New Roman" w:cs="Times New Roman"/>
          <w:sz w:val="22"/>
          <w:szCs w:val="22"/>
        </w:rPr>
        <w:t>in setting premiums “</w:t>
      </w:r>
      <w:r w:rsidRPr="00D37334">
        <w:rPr>
          <w:rFonts w:ascii="Times New Roman" w:hAnsi="Times New Roman" w:cs="Times New Roman"/>
          <w:sz w:val="22"/>
          <w:szCs w:val="22"/>
        </w:rPr>
        <w:t>seems quite sensible.</w:t>
      </w:r>
      <w:r>
        <w:rPr>
          <w:rFonts w:ascii="Times New Roman" w:hAnsi="Times New Roman" w:cs="Times New Roman"/>
          <w:sz w:val="22"/>
          <w:szCs w:val="22"/>
        </w:rPr>
        <w:t>”</w:t>
      </w:r>
    </w:p>
    <w:p w14:paraId="5A4F9E3F" w14:textId="77777777" w:rsidR="00434620" w:rsidRPr="00A058EC" w:rsidRDefault="00434620" w:rsidP="00D37334">
      <w:pPr>
        <w:pStyle w:val="EndnoteText"/>
        <w:rPr>
          <w:rFonts w:ascii="Times New Roman" w:hAnsi="Times New Roman" w:cs="Times New Roman"/>
          <w:sz w:val="22"/>
          <w:szCs w:val="22"/>
        </w:rPr>
      </w:pPr>
    </w:p>
  </w:endnote>
  <w:endnote w:id="150">
    <w:p w14:paraId="3B76B12D" w14:textId="0195AFAE" w:rsidR="00434620" w:rsidRPr="00F7354F" w:rsidRDefault="00434620" w:rsidP="00F7354F">
      <w:pPr>
        <w:pStyle w:val="EndnoteText"/>
        <w:rPr>
          <w:rFonts w:ascii="Times New Roman" w:hAnsi="Times New Roman" w:cs="Times New Roman"/>
          <w:sz w:val="22"/>
          <w:szCs w:val="22"/>
        </w:rPr>
      </w:pPr>
      <w:r w:rsidRPr="00A058EC">
        <w:rPr>
          <w:rStyle w:val="EndnoteReference"/>
          <w:rFonts w:ascii="Times New Roman" w:hAnsi="Times New Roman" w:cs="Times New Roman"/>
          <w:sz w:val="22"/>
          <w:szCs w:val="22"/>
        </w:rPr>
        <w:endnoteRef/>
      </w:r>
      <w:r w:rsidRPr="00A058EC">
        <w:rPr>
          <w:rFonts w:ascii="Times New Roman" w:hAnsi="Times New Roman" w:cs="Times New Roman"/>
          <w:sz w:val="22"/>
          <w:szCs w:val="22"/>
        </w:rPr>
        <w:t xml:space="preserve"> </w:t>
      </w:r>
      <w:r w:rsidRPr="00045292">
        <w:rPr>
          <w:rFonts w:ascii="Times New Roman" w:hAnsi="Times New Roman" w:cs="Times New Roman"/>
          <w:i/>
          <w:sz w:val="22"/>
          <w:szCs w:val="22"/>
        </w:rPr>
        <w:t>See</w:t>
      </w:r>
      <w:r w:rsidRPr="00F00AE2">
        <w:rPr>
          <w:rFonts w:ascii="Times New Roman" w:hAnsi="Times New Roman" w:cs="Times New Roman"/>
          <w:sz w:val="22"/>
          <w:szCs w:val="22"/>
        </w:rPr>
        <w:t xml:space="preserve"> Exhibit 1</w:t>
      </w:r>
      <w:r>
        <w:rPr>
          <w:rFonts w:ascii="Times New Roman" w:hAnsi="Times New Roman" w:cs="Times New Roman"/>
          <w:sz w:val="22"/>
          <w:szCs w:val="22"/>
        </w:rPr>
        <w:t>4</w:t>
      </w:r>
      <w:r w:rsidRPr="00F00AE2">
        <w:rPr>
          <w:rFonts w:ascii="Times New Roman" w:hAnsi="Times New Roman" w:cs="Times New Roman"/>
          <w:sz w:val="22"/>
          <w:szCs w:val="22"/>
        </w:rPr>
        <w:t>7-P</w:t>
      </w:r>
      <w:r>
        <w:rPr>
          <w:rFonts w:ascii="Times New Roman" w:hAnsi="Times New Roman" w:cs="Times New Roman"/>
          <w:sz w:val="22"/>
          <w:szCs w:val="22"/>
        </w:rPr>
        <w:t xml:space="preserve">, </w:t>
      </w:r>
      <w:r w:rsidRPr="00BE4142">
        <w:rPr>
          <w:rFonts w:ascii="Times New Roman" w:hAnsi="Times New Roman" w:cs="Times New Roman"/>
          <w:sz w:val="22"/>
          <w:szCs w:val="22"/>
        </w:rPr>
        <w:t>Rebuttal Exp</w:t>
      </w:r>
      <w:r>
        <w:rPr>
          <w:rFonts w:ascii="Times New Roman" w:hAnsi="Times New Roman" w:cs="Times New Roman"/>
          <w:sz w:val="22"/>
          <w:szCs w:val="22"/>
        </w:rPr>
        <w:t>e</w:t>
      </w:r>
      <w:r w:rsidRPr="00BE4142">
        <w:rPr>
          <w:rFonts w:ascii="Times New Roman" w:hAnsi="Times New Roman" w:cs="Times New Roman"/>
          <w:sz w:val="22"/>
          <w:szCs w:val="22"/>
        </w:rPr>
        <w:t xml:space="preserve">rt Report </w:t>
      </w:r>
      <w:r>
        <w:rPr>
          <w:rFonts w:ascii="Times New Roman" w:hAnsi="Times New Roman" w:cs="Times New Roman"/>
          <w:sz w:val="22"/>
          <w:szCs w:val="22"/>
        </w:rPr>
        <w:t>of</w:t>
      </w:r>
      <w:r w:rsidRPr="00BE4142">
        <w:rPr>
          <w:rFonts w:ascii="Times New Roman" w:hAnsi="Times New Roman" w:cs="Times New Roman"/>
          <w:sz w:val="22"/>
          <w:szCs w:val="22"/>
        </w:rPr>
        <w:t xml:space="preserve"> Michael Solomon</w:t>
      </w:r>
      <w:r>
        <w:rPr>
          <w:rFonts w:ascii="Times New Roman" w:hAnsi="Times New Roman" w:cs="Times New Roman"/>
          <w:sz w:val="22"/>
          <w:szCs w:val="22"/>
        </w:rPr>
        <w:t xml:space="preserve"> (</w:t>
      </w:r>
      <w:r w:rsidRPr="00BE4142">
        <w:rPr>
          <w:rFonts w:ascii="Times New Roman" w:hAnsi="Times New Roman" w:cs="Times New Roman"/>
          <w:sz w:val="22"/>
          <w:szCs w:val="22"/>
        </w:rPr>
        <w:t>Rebuttal to Expert Report of Mr. Donald J. Riggin</w:t>
      </w:r>
      <w:r>
        <w:rPr>
          <w:rFonts w:ascii="Times New Roman" w:hAnsi="Times New Roman" w:cs="Times New Roman"/>
          <w:sz w:val="22"/>
          <w:szCs w:val="22"/>
        </w:rPr>
        <w:t>, April 9, 2017), page 2.  Mr. Solomon stated as follows in his rebuttal report: “Actuaries do not require a relatively large pool of homogeneous loss exposures to project expected losses</w:t>
      </w:r>
      <w:r>
        <w:t xml:space="preserve">.  </w:t>
      </w:r>
      <w:r w:rsidRPr="00555D8D">
        <w:rPr>
          <w:rFonts w:ascii="Times New Roman" w:hAnsi="Times New Roman" w:cs="Times New Roman"/>
          <w:sz w:val="22"/>
          <w:szCs w:val="22"/>
        </w:rPr>
        <w:t>Actuaries are constantly engaged to project expected losses without large amounts of data</w:t>
      </w:r>
      <w:r>
        <w:rPr>
          <w:rFonts w:ascii="Times New Roman" w:hAnsi="Times New Roman" w:cs="Times New Roman"/>
          <w:sz w:val="22"/>
          <w:szCs w:val="22"/>
        </w:rPr>
        <w:t xml:space="preserve">… </w:t>
      </w:r>
      <w:r w:rsidRPr="00F7354F">
        <w:rPr>
          <w:rFonts w:ascii="Times New Roman" w:hAnsi="Times New Roman" w:cs="Times New Roman"/>
          <w:sz w:val="22"/>
          <w:szCs w:val="22"/>
        </w:rPr>
        <w:t>In my experience as an actuary</w:t>
      </w:r>
      <w:r>
        <w:rPr>
          <w:rFonts w:ascii="Times New Roman" w:hAnsi="Times New Roman" w:cs="Times New Roman"/>
          <w:sz w:val="22"/>
          <w:szCs w:val="22"/>
        </w:rPr>
        <w:t xml:space="preserve"> I </w:t>
      </w:r>
      <w:r w:rsidRPr="00F7354F">
        <w:rPr>
          <w:rFonts w:ascii="Times New Roman" w:hAnsi="Times New Roman" w:cs="Times New Roman"/>
          <w:sz w:val="22"/>
          <w:szCs w:val="22"/>
        </w:rPr>
        <w:t>have often been asked to project expected losses for new insurance</w:t>
      </w:r>
    </w:p>
    <w:p w14:paraId="5377E077" w14:textId="77777777" w:rsidR="00434620" w:rsidRPr="00F7354F" w:rsidRDefault="00434620" w:rsidP="00F7354F">
      <w:pPr>
        <w:pStyle w:val="EndnoteText"/>
        <w:rPr>
          <w:rFonts w:ascii="Times New Roman" w:hAnsi="Times New Roman" w:cs="Times New Roman"/>
          <w:sz w:val="22"/>
          <w:szCs w:val="22"/>
        </w:rPr>
      </w:pPr>
      <w:r w:rsidRPr="00F7354F">
        <w:rPr>
          <w:rFonts w:ascii="Times New Roman" w:hAnsi="Times New Roman" w:cs="Times New Roman"/>
          <w:sz w:val="22"/>
          <w:szCs w:val="22"/>
        </w:rPr>
        <w:t>products, in the absence of data. For instance, I have been asked to project expected losses for tire</w:t>
      </w:r>
    </w:p>
    <w:p w14:paraId="38EB1C42" w14:textId="77777777" w:rsidR="00434620" w:rsidRPr="00F7354F" w:rsidRDefault="00434620" w:rsidP="00F7354F">
      <w:pPr>
        <w:pStyle w:val="EndnoteText"/>
        <w:rPr>
          <w:rFonts w:ascii="Times New Roman" w:hAnsi="Times New Roman" w:cs="Times New Roman"/>
          <w:sz w:val="22"/>
          <w:szCs w:val="22"/>
        </w:rPr>
      </w:pPr>
      <w:r w:rsidRPr="00F7354F">
        <w:rPr>
          <w:rFonts w:ascii="Times New Roman" w:hAnsi="Times New Roman" w:cs="Times New Roman"/>
          <w:sz w:val="22"/>
          <w:szCs w:val="22"/>
        </w:rPr>
        <w:t>and rim insurance, and mechanical breakdown insurance, on new vehicles. I have also been asked</w:t>
      </w:r>
    </w:p>
    <w:p w14:paraId="2EA7E073" w14:textId="77777777" w:rsidR="00434620" w:rsidRPr="00F7354F" w:rsidRDefault="00434620" w:rsidP="00F7354F">
      <w:pPr>
        <w:pStyle w:val="EndnoteText"/>
        <w:rPr>
          <w:rFonts w:ascii="Times New Roman" w:hAnsi="Times New Roman" w:cs="Times New Roman"/>
          <w:sz w:val="22"/>
          <w:szCs w:val="22"/>
        </w:rPr>
      </w:pPr>
      <w:r w:rsidRPr="00F7354F">
        <w:rPr>
          <w:rFonts w:ascii="Times New Roman" w:hAnsi="Times New Roman" w:cs="Times New Roman"/>
          <w:sz w:val="22"/>
          <w:szCs w:val="22"/>
        </w:rPr>
        <w:t>to price the cost of new products, such as AutoNation</w:t>
      </w:r>
      <w:r>
        <w:rPr>
          <w:rFonts w:ascii="Times New Roman" w:hAnsi="Times New Roman" w:cs="Times New Roman"/>
          <w:sz w:val="22"/>
          <w:szCs w:val="22"/>
        </w:rPr>
        <w:t>’</w:t>
      </w:r>
      <w:r w:rsidRPr="00F7354F">
        <w:rPr>
          <w:rFonts w:ascii="Times New Roman" w:hAnsi="Times New Roman" w:cs="Times New Roman"/>
          <w:sz w:val="22"/>
          <w:szCs w:val="22"/>
        </w:rPr>
        <w:t>s Vehicle Protection Plan, or Porsche</w:t>
      </w:r>
      <w:r>
        <w:rPr>
          <w:rFonts w:ascii="Times New Roman" w:hAnsi="Times New Roman" w:cs="Times New Roman"/>
          <w:sz w:val="22"/>
          <w:szCs w:val="22"/>
        </w:rPr>
        <w:t>’</w:t>
      </w:r>
      <w:r w:rsidRPr="00F7354F">
        <w:rPr>
          <w:rFonts w:ascii="Times New Roman" w:hAnsi="Times New Roman" w:cs="Times New Roman"/>
          <w:sz w:val="22"/>
          <w:szCs w:val="22"/>
        </w:rPr>
        <w:t>s Pre</w:t>
      </w:r>
      <w:r>
        <w:rPr>
          <w:rFonts w:ascii="Times New Roman" w:hAnsi="Times New Roman" w:cs="Times New Roman"/>
          <w:sz w:val="22"/>
          <w:szCs w:val="22"/>
        </w:rPr>
        <w:t>-</w:t>
      </w:r>
      <w:r w:rsidRPr="00F7354F">
        <w:rPr>
          <w:rFonts w:ascii="Times New Roman" w:hAnsi="Times New Roman" w:cs="Times New Roman"/>
          <w:sz w:val="22"/>
          <w:szCs w:val="22"/>
        </w:rPr>
        <w:t>Paid</w:t>
      </w:r>
    </w:p>
    <w:p w14:paraId="795A78C3" w14:textId="77777777" w:rsidR="00434620" w:rsidRDefault="00434620" w:rsidP="00F7354F">
      <w:pPr>
        <w:pStyle w:val="EndnoteText"/>
        <w:rPr>
          <w:rFonts w:ascii="Times New Roman" w:hAnsi="Times New Roman" w:cs="Times New Roman"/>
          <w:sz w:val="22"/>
          <w:szCs w:val="22"/>
        </w:rPr>
      </w:pPr>
      <w:r w:rsidRPr="00F7354F">
        <w:rPr>
          <w:rFonts w:ascii="Times New Roman" w:hAnsi="Times New Roman" w:cs="Times New Roman"/>
          <w:sz w:val="22"/>
          <w:szCs w:val="22"/>
        </w:rPr>
        <w:t>Maintenance program.</w:t>
      </w:r>
      <w:r>
        <w:rPr>
          <w:rFonts w:ascii="Times New Roman" w:hAnsi="Times New Roman" w:cs="Times New Roman"/>
          <w:sz w:val="22"/>
          <w:szCs w:val="22"/>
        </w:rPr>
        <w:t>”</w:t>
      </w:r>
    </w:p>
    <w:p w14:paraId="1ED7BAA4" w14:textId="77777777" w:rsidR="00434620" w:rsidRPr="00256729" w:rsidRDefault="00434620" w:rsidP="00F7354F">
      <w:pPr>
        <w:pStyle w:val="EndnoteText"/>
        <w:rPr>
          <w:rFonts w:ascii="Times New Roman" w:hAnsi="Times New Roman" w:cs="Times New Roman"/>
          <w:sz w:val="22"/>
          <w:szCs w:val="22"/>
        </w:rPr>
      </w:pPr>
    </w:p>
  </w:endnote>
  <w:endnote w:id="151">
    <w:p w14:paraId="551FEB56" w14:textId="204B1CCA" w:rsidR="00434620" w:rsidRDefault="00434620">
      <w:pPr>
        <w:pStyle w:val="EndnoteText"/>
        <w:rPr>
          <w:rFonts w:ascii="Times New Roman" w:hAnsi="Times New Roman" w:cs="Times New Roman"/>
          <w:sz w:val="22"/>
          <w:szCs w:val="22"/>
        </w:rPr>
      </w:pPr>
      <w:r w:rsidRPr="00256729">
        <w:rPr>
          <w:rStyle w:val="EndnoteReference"/>
          <w:rFonts w:ascii="Times New Roman" w:hAnsi="Times New Roman" w:cs="Times New Roman"/>
          <w:sz w:val="22"/>
          <w:szCs w:val="22"/>
        </w:rPr>
        <w:endnoteRef/>
      </w:r>
      <w:r w:rsidRPr="00256729">
        <w:rPr>
          <w:rFonts w:ascii="Times New Roman" w:hAnsi="Times New Roman" w:cs="Times New Roman"/>
          <w:sz w:val="22"/>
          <w:szCs w:val="22"/>
        </w:rPr>
        <w:t xml:space="preserve"> </w:t>
      </w:r>
      <w:r w:rsidRPr="00045292">
        <w:rPr>
          <w:rFonts w:ascii="Times New Roman" w:hAnsi="Times New Roman" w:cs="Times New Roman"/>
          <w:i/>
          <w:sz w:val="22"/>
          <w:szCs w:val="22"/>
        </w:rPr>
        <w:t>See</w:t>
      </w:r>
      <w:r w:rsidRPr="00030138">
        <w:rPr>
          <w:rFonts w:ascii="Times New Roman" w:hAnsi="Times New Roman" w:cs="Times New Roman"/>
          <w:sz w:val="22"/>
          <w:szCs w:val="22"/>
        </w:rPr>
        <w:t xml:space="preserve"> testimony of Esperanza Mead, Tr</w:t>
      </w:r>
      <w:r>
        <w:rPr>
          <w:rFonts w:ascii="Times New Roman" w:hAnsi="Times New Roman" w:cs="Times New Roman"/>
          <w:sz w:val="22"/>
          <w:szCs w:val="22"/>
        </w:rPr>
        <w:t>.</w:t>
      </w:r>
      <w:r w:rsidRPr="00030138">
        <w:rPr>
          <w:rFonts w:ascii="Times New Roman" w:hAnsi="Times New Roman" w:cs="Times New Roman"/>
          <w:sz w:val="22"/>
          <w:szCs w:val="22"/>
        </w:rPr>
        <w:t xml:space="preserve"> at 407-436, and Exhibit 113-P (Expert Actuarial Peer Review Report of Esperanza Mead</w:t>
      </w:r>
      <w:r>
        <w:rPr>
          <w:rFonts w:ascii="Times New Roman" w:hAnsi="Times New Roman" w:cs="Times New Roman"/>
          <w:sz w:val="22"/>
          <w:szCs w:val="22"/>
        </w:rPr>
        <w:t xml:space="preserve">, </w:t>
      </w:r>
      <w:r w:rsidRPr="00030138">
        <w:rPr>
          <w:rFonts w:ascii="Times New Roman" w:hAnsi="Times New Roman" w:cs="Times New Roman"/>
          <w:sz w:val="22"/>
          <w:szCs w:val="22"/>
        </w:rPr>
        <w:t xml:space="preserve">March 10, 2017). </w:t>
      </w:r>
      <w:r w:rsidRPr="00045292">
        <w:rPr>
          <w:rFonts w:ascii="Times New Roman" w:hAnsi="Times New Roman" w:cs="Times New Roman"/>
          <w:i/>
          <w:sz w:val="22"/>
          <w:szCs w:val="22"/>
        </w:rPr>
        <w:t>See also</w:t>
      </w:r>
      <w:r w:rsidRPr="00030138">
        <w:rPr>
          <w:rFonts w:ascii="Times New Roman" w:hAnsi="Times New Roman" w:cs="Times New Roman"/>
          <w:sz w:val="22"/>
          <w:szCs w:val="22"/>
        </w:rPr>
        <w:t xml:space="preserve"> testimony of Michael Solomon, Tr</w:t>
      </w:r>
      <w:r>
        <w:rPr>
          <w:rFonts w:ascii="Times New Roman" w:hAnsi="Times New Roman" w:cs="Times New Roman"/>
          <w:sz w:val="22"/>
          <w:szCs w:val="22"/>
        </w:rPr>
        <w:t xml:space="preserve">. </w:t>
      </w:r>
      <w:r w:rsidRPr="00030138">
        <w:rPr>
          <w:rFonts w:ascii="Times New Roman" w:hAnsi="Times New Roman" w:cs="Times New Roman"/>
          <w:sz w:val="22"/>
          <w:szCs w:val="22"/>
        </w:rPr>
        <w:t>at 466-494, and Exhibit 117-P (Expert Actuarial Review Report of Michael Solomon</w:t>
      </w:r>
      <w:r>
        <w:rPr>
          <w:rFonts w:ascii="Times New Roman" w:hAnsi="Times New Roman" w:cs="Times New Roman"/>
          <w:sz w:val="22"/>
          <w:szCs w:val="22"/>
        </w:rPr>
        <w:t xml:space="preserve">, </w:t>
      </w:r>
      <w:r w:rsidRPr="00030138">
        <w:rPr>
          <w:rFonts w:ascii="Times New Roman" w:hAnsi="Times New Roman" w:cs="Times New Roman"/>
          <w:sz w:val="22"/>
          <w:szCs w:val="22"/>
        </w:rPr>
        <w:t>March 27, 2017)</w:t>
      </w:r>
      <w:r>
        <w:rPr>
          <w:rFonts w:ascii="Times New Roman" w:hAnsi="Times New Roman" w:cs="Times New Roman"/>
          <w:sz w:val="22"/>
          <w:szCs w:val="22"/>
        </w:rPr>
        <w:t>.</w:t>
      </w:r>
    </w:p>
    <w:p w14:paraId="44942034" w14:textId="77777777" w:rsidR="00434620" w:rsidRPr="00256729" w:rsidRDefault="00434620">
      <w:pPr>
        <w:pStyle w:val="EndnoteText"/>
        <w:rPr>
          <w:rFonts w:ascii="Times New Roman" w:hAnsi="Times New Roman" w:cs="Times New Roman"/>
          <w:sz w:val="22"/>
          <w:szCs w:val="22"/>
        </w:rPr>
      </w:pPr>
    </w:p>
  </w:endnote>
  <w:endnote w:id="152">
    <w:p w14:paraId="39B66B2A" w14:textId="49B12A3D" w:rsidR="00434620" w:rsidRDefault="00434620" w:rsidP="001960B7">
      <w:pPr>
        <w:pStyle w:val="EndnoteText"/>
        <w:rPr>
          <w:rFonts w:ascii="Times New Roman" w:hAnsi="Times New Roman" w:cs="Times New Roman"/>
          <w:sz w:val="22"/>
          <w:szCs w:val="22"/>
        </w:rPr>
      </w:pPr>
      <w:r w:rsidRPr="00BA41F5">
        <w:rPr>
          <w:rStyle w:val="EndnoteReference"/>
          <w:rFonts w:ascii="Times New Roman" w:hAnsi="Times New Roman" w:cs="Times New Roman"/>
          <w:sz w:val="22"/>
          <w:szCs w:val="22"/>
        </w:rPr>
        <w:endnoteRef/>
      </w:r>
      <w:r w:rsidRPr="00BA41F5">
        <w:rPr>
          <w:rFonts w:ascii="Times New Roman" w:hAnsi="Times New Roman" w:cs="Times New Roman"/>
          <w:sz w:val="22"/>
          <w:szCs w:val="22"/>
        </w:rPr>
        <w:t xml:space="preserve"> </w:t>
      </w:r>
      <w:r w:rsidRPr="00045292">
        <w:rPr>
          <w:rFonts w:ascii="Times New Roman" w:hAnsi="Times New Roman" w:cs="Times New Roman"/>
          <w:i/>
          <w:sz w:val="22"/>
          <w:szCs w:val="22"/>
        </w:rPr>
        <w:t>See</w:t>
      </w:r>
      <w:r>
        <w:rPr>
          <w:rFonts w:ascii="Times New Roman" w:hAnsi="Times New Roman" w:cs="Times New Roman"/>
          <w:sz w:val="22"/>
          <w:szCs w:val="22"/>
        </w:rPr>
        <w:t xml:space="preserve"> </w:t>
      </w:r>
      <w:r w:rsidRPr="007E0B8F">
        <w:rPr>
          <w:rFonts w:ascii="Times New Roman" w:hAnsi="Times New Roman" w:cs="Times New Roman"/>
          <w:sz w:val="22"/>
          <w:szCs w:val="22"/>
        </w:rPr>
        <w:t>Exhibit 94-J (Letter from Lawrence M. Keefe, Senior Vice President of Mid-Continent General Agency, Inc. to Lance McNeel, “Premium Rating Methodology for Captives</w:t>
      </w:r>
      <w:r>
        <w:rPr>
          <w:rFonts w:ascii="Times New Roman" w:hAnsi="Times New Roman" w:cs="Times New Roman"/>
          <w:sz w:val="22"/>
          <w:szCs w:val="22"/>
        </w:rPr>
        <w:t>,</w:t>
      </w:r>
      <w:r w:rsidRPr="007E0B8F">
        <w:rPr>
          <w:rFonts w:ascii="Times New Roman" w:hAnsi="Times New Roman" w:cs="Times New Roman"/>
          <w:sz w:val="22"/>
          <w:szCs w:val="22"/>
        </w:rPr>
        <w:t>” April 28, 2009)</w:t>
      </w:r>
      <w:r>
        <w:rPr>
          <w:rFonts w:ascii="Times New Roman" w:hAnsi="Times New Roman" w:cs="Times New Roman"/>
          <w:sz w:val="22"/>
          <w:szCs w:val="22"/>
        </w:rPr>
        <w:t xml:space="preserve">.  </w:t>
      </w:r>
      <w:r w:rsidRPr="006460F1">
        <w:rPr>
          <w:rFonts w:ascii="Times New Roman" w:hAnsi="Times New Roman" w:cs="Times New Roman"/>
          <w:sz w:val="22"/>
          <w:szCs w:val="22"/>
        </w:rPr>
        <w:t>In this letter, Mr. Keefe stated as follows: “The process we have utilized on Capstone’s behalf involves the evaluation of exposures for a given line of insurance, examination of historic loss date, if any, the consideration of the increased limits factors that might be reasonably applicable, and acknowledgment of market rate adjustments that might impact the commercial market</w:t>
      </w:r>
      <w:r>
        <w:rPr>
          <w:rFonts w:ascii="Times New Roman" w:hAnsi="Times New Roman" w:cs="Times New Roman"/>
          <w:sz w:val="22"/>
          <w:szCs w:val="22"/>
        </w:rPr>
        <w:t>’</w:t>
      </w:r>
      <w:r w:rsidRPr="006460F1">
        <w:rPr>
          <w:rFonts w:ascii="Times New Roman" w:hAnsi="Times New Roman" w:cs="Times New Roman"/>
          <w:sz w:val="22"/>
          <w:szCs w:val="22"/>
        </w:rPr>
        <w:t xml:space="preserve">s pricing of risk on a cyclical basis. From our experience working with many types of risk and with numerous insurers, we can apply our judgment to factors of this nature, in order to provide what we think are reasonably credible pricing indications to Capstone.”  </w:t>
      </w:r>
      <w:r w:rsidRPr="00045292">
        <w:rPr>
          <w:rFonts w:ascii="Times New Roman" w:hAnsi="Times New Roman" w:cs="Times New Roman"/>
          <w:i/>
          <w:sz w:val="22"/>
          <w:szCs w:val="22"/>
        </w:rPr>
        <w:t>See also</w:t>
      </w:r>
      <w:r>
        <w:rPr>
          <w:rFonts w:ascii="Times New Roman" w:hAnsi="Times New Roman" w:cs="Times New Roman"/>
          <w:sz w:val="22"/>
          <w:szCs w:val="22"/>
        </w:rPr>
        <w:t xml:space="preserve"> Tr. at 323-324, where </w:t>
      </w:r>
      <w:r w:rsidRPr="006460F1">
        <w:rPr>
          <w:rFonts w:ascii="Times New Roman" w:hAnsi="Times New Roman" w:cs="Times New Roman"/>
          <w:sz w:val="22"/>
          <w:szCs w:val="22"/>
        </w:rPr>
        <w:t>Mr. McNeel testified that Exhibit 94-J accurately describes “how the premiums that are reflected in Reserve Casualty Corporation</w:t>
      </w:r>
      <w:r>
        <w:rPr>
          <w:rFonts w:ascii="Times New Roman" w:hAnsi="Times New Roman" w:cs="Times New Roman"/>
          <w:sz w:val="22"/>
          <w:szCs w:val="22"/>
        </w:rPr>
        <w:t>’</w:t>
      </w:r>
      <w:r w:rsidRPr="006460F1">
        <w:rPr>
          <w:rFonts w:ascii="Times New Roman" w:hAnsi="Times New Roman" w:cs="Times New Roman"/>
          <w:sz w:val="22"/>
          <w:szCs w:val="22"/>
        </w:rPr>
        <w:t>s insurance policies were determined” for 2008, 2009, and 2010.</w:t>
      </w:r>
      <w:r>
        <w:rPr>
          <w:rFonts w:ascii="Times New Roman" w:hAnsi="Times New Roman" w:cs="Times New Roman"/>
          <w:sz w:val="22"/>
          <w:szCs w:val="22"/>
        </w:rPr>
        <w:t xml:space="preserve"> </w:t>
      </w:r>
    </w:p>
    <w:p w14:paraId="2639FFA4" w14:textId="77777777" w:rsidR="00434620" w:rsidRDefault="00434620" w:rsidP="001960B7">
      <w:pPr>
        <w:pStyle w:val="EndnoteText"/>
        <w:rPr>
          <w:rFonts w:ascii="Times New Roman" w:hAnsi="Times New Roman" w:cs="Times New Roman"/>
          <w:sz w:val="22"/>
          <w:szCs w:val="22"/>
        </w:rPr>
      </w:pPr>
    </w:p>
    <w:p w14:paraId="1A10FC6A" w14:textId="77777777" w:rsidR="00434620" w:rsidRDefault="00434620" w:rsidP="001960B7">
      <w:pPr>
        <w:pStyle w:val="EndnoteText"/>
        <w:rPr>
          <w:rFonts w:ascii="Times New Roman" w:hAnsi="Times New Roman" w:cs="Times New Roman"/>
          <w:sz w:val="22"/>
          <w:szCs w:val="22"/>
        </w:rPr>
      </w:pPr>
      <w:r w:rsidRPr="00045292">
        <w:rPr>
          <w:rFonts w:ascii="Times New Roman" w:hAnsi="Times New Roman" w:cs="Times New Roman"/>
          <w:i/>
          <w:sz w:val="22"/>
          <w:szCs w:val="22"/>
        </w:rPr>
        <w:t>See also</w:t>
      </w:r>
      <w:r>
        <w:rPr>
          <w:rFonts w:ascii="Times New Roman" w:hAnsi="Times New Roman" w:cs="Times New Roman"/>
          <w:sz w:val="22"/>
          <w:szCs w:val="22"/>
        </w:rPr>
        <w:t xml:space="preserve"> Exhibit </w:t>
      </w:r>
      <w:r w:rsidRPr="00BA41F5">
        <w:rPr>
          <w:rFonts w:ascii="Times New Roman" w:hAnsi="Times New Roman" w:cs="Times New Roman"/>
          <w:sz w:val="22"/>
          <w:szCs w:val="22"/>
        </w:rPr>
        <w:t xml:space="preserve">109-P </w:t>
      </w:r>
      <w:r>
        <w:rPr>
          <w:rFonts w:ascii="Times New Roman" w:hAnsi="Times New Roman" w:cs="Times New Roman"/>
          <w:sz w:val="22"/>
          <w:szCs w:val="22"/>
        </w:rPr>
        <w:t>(</w:t>
      </w:r>
      <w:r w:rsidRPr="00DC2EFC">
        <w:rPr>
          <w:rFonts w:ascii="Times New Roman" w:hAnsi="Times New Roman" w:cs="Times New Roman"/>
          <w:sz w:val="22"/>
          <w:szCs w:val="22"/>
        </w:rPr>
        <w:t>Mid-Continent General Agency, Inc. - Indication, Underwriters at Lloyds of London, Surplus Lines Company, Best Rating: A, XV for Reserve Casualty Corp. for policy years 2008, 2009, and 2010</w:t>
      </w:r>
      <w:r>
        <w:rPr>
          <w:rFonts w:ascii="Times New Roman" w:hAnsi="Times New Roman" w:cs="Times New Roman"/>
          <w:sz w:val="22"/>
          <w:szCs w:val="22"/>
        </w:rPr>
        <w:t>).</w:t>
      </w:r>
    </w:p>
    <w:p w14:paraId="18B02D13" w14:textId="77777777" w:rsidR="00434620" w:rsidRDefault="00434620" w:rsidP="001960B7">
      <w:pPr>
        <w:pStyle w:val="EndnoteText"/>
        <w:rPr>
          <w:rFonts w:ascii="Times New Roman" w:hAnsi="Times New Roman" w:cs="Times New Roman"/>
          <w:sz w:val="22"/>
          <w:szCs w:val="22"/>
        </w:rPr>
      </w:pPr>
    </w:p>
    <w:p w14:paraId="39BDFF14" w14:textId="33FF9C4F" w:rsidR="00434620" w:rsidRDefault="00434620" w:rsidP="001960B7">
      <w:pPr>
        <w:pStyle w:val="EndnoteText"/>
        <w:rPr>
          <w:rFonts w:ascii="Times New Roman" w:hAnsi="Times New Roman" w:cs="Times New Roman"/>
          <w:sz w:val="22"/>
          <w:szCs w:val="22"/>
        </w:rPr>
      </w:pPr>
      <w:r w:rsidRPr="005E1EDD">
        <w:rPr>
          <w:rFonts w:ascii="Times New Roman" w:hAnsi="Times New Roman" w:cs="Times New Roman"/>
          <w:i/>
          <w:sz w:val="22"/>
          <w:szCs w:val="22"/>
        </w:rPr>
        <w:t>See also</w:t>
      </w:r>
      <w:r>
        <w:rPr>
          <w:rFonts w:ascii="Times New Roman" w:hAnsi="Times New Roman" w:cs="Times New Roman"/>
          <w:sz w:val="22"/>
          <w:szCs w:val="22"/>
        </w:rPr>
        <w:t xml:space="preserve"> t</w:t>
      </w:r>
      <w:r w:rsidRPr="00BA41F5">
        <w:rPr>
          <w:rFonts w:ascii="Times New Roman" w:hAnsi="Times New Roman" w:cs="Times New Roman"/>
          <w:sz w:val="22"/>
          <w:szCs w:val="22"/>
        </w:rPr>
        <w:t>estimony of S. Lance McNeel</w:t>
      </w:r>
      <w:r>
        <w:rPr>
          <w:rFonts w:ascii="Times New Roman" w:hAnsi="Times New Roman" w:cs="Times New Roman"/>
          <w:sz w:val="22"/>
          <w:szCs w:val="22"/>
        </w:rPr>
        <w:t>, Tr.</w:t>
      </w:r>
      <w:r w:rsidRPr="00BA41F5">
        <w:rPr>
          <w:rFonts w:ascii="Times New Roman" w:hAnsi="Times New Roman" w:cs="Times New Roman"/>
          <w:sz w:val="22"/>
          <w:szCs w:val="22"/>
        </w:rPr>
        <w:t xml:space="preserve"> at</w:t>
      </w:r>
      <w:r>
        <w:rPr>
          <w:rFonts w:ascii="Times New Roman" w:hAnsi="Times New Roman" w:cs="Times New Roman"/>
          <w:sz w:val="22"/>
          <w:szCs w:val="22"/>
        </w:rPr>
        <w:t xml:space="preserve"> </w:t>
      </w:r>
      <w:r w:rsidRPr="00BA41F5">
        <w:rPr>
          <w:rFonts w:ascii="Times New Roman" w:hAnsi="Times New Roman" w:cs="Times New Roman"/>
          <w:sz w:val="22"/>
          <w:szCs w:val="22"/>
        </w:rPr>
        <w:t>3</w:t>
      </w:r>
      <w:r>
        <w:rPr>
          <w:rFonts w:ascii="Times New Roman" w:hAnsi="Times New Roman" w:cs="Times New Roman"/>
          <w:sz w:val="22"/>
          <w:szCs w:val="22"/>
        </w:rPr>
        <w:t>56</w:t>
      </w:r>
      <w:r w:rsidRPr="00BA41F5">
        <w:rPr>
          <w:rFonts w:ascii="Times New Roman" w:hAnsi="Times New Roman" w:cs="Times New Roman"/>
          <w:sz w:val="22"/>
          <w:szCs w:val="22"/>
        </w:rPr>
        <w:t>-3</w:t>
      </w:r>
      <w:r>
        <w:rPr>
          <w:rFonts w:ascii="Times New Roman" w:hAnsi="Times New Roman" w:cs="Times New Roman"/>
          <w:sz w:val="22"/>
          <w:szCs w:val="22"/>
        </w:rPr>
        <w:t>66</w:t>
      </w:r>
      <w:r w:rsidRPr="00BA41F5">
        <w:rPr>
          <w:rFonts w:ascii="Times New Roman" w:hAnsi="Times New Roman" w:cs="Times New Roman"/>
          <w:sz w:val="22"/>
          <w:szCs w:val="22"/>
        </w:rPr>
        <w:t>.</w:t>
      </w:r>
      <w:r w:rsidRPr="00983438">
        <w:t xml:space="preserve"> </w:t>
      </w:r>
      <w:r>
        <w:t xml:space="preserve"> </w:t>
      </w:r>
      <w:r w:rsidRPr="00983438">
        <w:rPr>
          <w:rFonts w:ascii="Times New Roman" w:hAnsi="Times New Roman" w:cs="Times New Roman"/>
          <w:sz w:val="22"/>
          <w:szCs w:val="22"/>
        </w:rPr>
        <w:t>Mr. McNeel testified that the premium pricing for each type of coverage that was underwritten by Reserve for coverages provided to Peak Mechanical, as reflected on Exhibit 112-P (Reserve Casualty Corp. - Rating Worksheet for Peak Mechanical, Inc. for policy years 2008, 2009, and 2010), took into account multiple individual factors, including Reserve</w:t>
      </w:r>
      <w:r>
        <w:rPr>
          <w:rFonts w:ascii="Times New Roman" w:hAnsi="Times New Roman" w:cs="Times New Roman"/>
          <w:sz w:val="22"/>
          <w:szCs w:val="22"/>
        </w:rPr>
        <w:t>’</w:t>
      </w:r>
      <w:r w:rsidRPr="00983438">
        <w:rPr>
          <w:rFonts w:ascii="Times New Roman" w:hAnsi="Times New Roman" w:cs="Times New Roman"/>
          <w:sz w:val="22"/>
          <w:szCs w:val="22"/>
        </w:rPr>
        <w:t>s premium indications (received from Mid-Continent General Agency, Inc.), the applicable policy limit, the exposure basis (based on either the insured</w:t>
      </w:r>
      <w:r>
        <w:rPr>
          <w:rFonts w:ascii="Times New Roman" w:hAnsi="Times New Roman" w:cs="Times New Roman"/>
          <w:sz w:val="22"/>
          <w:szCs w:val="22"/>
        </w:rPr>
        <w:t>’</w:t>
      </w:r>
      <w:r w:rsidRPr="00983438">
        <w:rPr>
          <w:rFonts w:ascii="Times New Roman" w:hAnsi="Times New Roman" w:cs="Times New Roman"/>
          <w:sz w:val="22"/>
          <w:szCs w:val="22"/>
        </w:rPr>
        <w:t xml:space="preserve">s revenue or the insured's number of employees), an increase limit factor, and the relevant policy period (i.e., whether the policy period was a short policy period or a full annual term policy period).  Mr. McNeel testified that a </w:t>
      </w:r>
      <w:r>
        <w:rPr>
          <w:rFonts w:ascii="Times New Roman" w:hAnsi="Times New Roman" w:cs="Times New Roman"/>
          <w:sz w:val="22"/>
          <w:szCs w:val="22"/>
        </w:rPr>
        <w:t>“</w:t>
      </w:r>
      <w:r w:rsidRPr="00983438">
        <w:rPr>
          <w:rFonts w:ascii="Times New Roman" w:hAnsi="Times New Roman" w:cs="Times New Roman"/>
          <w:sz w:val="22"/>
          <w:szCs w:val="22"/>
        </w:rPr>
        <w:t>pro rata premium</w:t>
      </w:r>
      <w:r>
        <w:rPr>
          <w:rFonts w:ascii="Times New Roman" w:hAnsi="Times New Roman" w:cs="Times New Roman"/>
          <w:sz w:val="22"/>
          <w:szCs w:val="22"/>
        </w:rPr>
        <w:t>”</w:t>
      </w:r>
      <w:r w:rsidRPr="00983438">
        <w:rPr>
          <w:rFonts w:ascii="Times New Roman" w:hAnsi="Times New Roman" w:cs="Times New Roman"/>
          <w:sz w:val="22"/>
          <w:szCs w:val="22"/>
        </w:rPr>
        <w:t xml:space="preserve"> was calculated using the rating worksheet for each coverage after </w:t>
      </w:r>
      <w:r>
        <w:rPr>
          <w:rFonts w:ascii="Times New Roman" w:hAnsi="Times New Roman" w:cs="Times New Roman"/>
          <w:sz w:val="22"/>
          <w:szCs w:val="22"/>
        </w:rPr>
        <w:t xml:space="preserve">considering </w:t>
      </w:r>
      <w:r w:rsidRPr="00983438">
        <w:rPr>
          <w:rFonts w:ascii="Times New Roman" w:hAnsi="Times New Roman" w:cs="Times New Roman"/>
          <w:sz w:val="22"/>
          <w:szCs w:val="22"/>
        </w:rPr>
        <w:t>these factors.</w:t>
      </w:r>
    </w:p>
    <w:p w14:paraId="48EF7F8D" w14:textId="77777777" w:rsidR="00434620" w:rsidRPr="00615532" w:rsidRDefault="00434620" w:rsidP="001960B7">
      <w:pPr>
        <w:pStyle w:val="EndnoteText"/>
        <w:rPr>
          <w:rFonts w:ascii="Times New Roman" w:hAnsi="Times New Roman" w:cs="Times New Roman"/>
          <w:sz w:val="22"/>
          <w:szCs w:val="22"/>
        </w:rPr>
      </w:pPr>
    </w:p>
  </w:endnote>
  <w:endnote w:id="153">
    <w:p w14:paraId="26FD2389" w14:textId="39A5B0E6" w:rsidR="00434620" w:rsidRPr="00BE784B" w:rsidRDefault="00434620" w:rsidP="001960B7">
      <w:pPr>
        <w:pStyle w:val="EndnoteText"/>
        <w:rPr>
          <w:rFonts w:ascii="Times New Roman" w:hAnsi="Times New Roman" w:cs="Times New Roman"/>
          <w:sz w:val="22"/>
          <w:szCs w:val="22"/>
        </w:rPr>
      </w:pPr>
      <w:r w:rsidRPr="00BE784B">
        <w:rPr>
          <w:rStyle w:val="EndnoteReference"/>
          <w:rFonts w:ascii="Times New Roman" w:hAnsi="Times New Roman" w:cs="Times New Roman"/>
          <w:sz w:val="22"/>
          <w:szCs w:val="22"/>
        </w:rPr>
        <w:endnoteRef/>
      </w:r>
      <w:r w:rsidRPr="00BE784B">
        <w:rPr>
          <w:rFonts w:ascii="Times New Roman" w:hAnsi="Times New Roman" w:cs="Times New Roman"/>
          <w:sz w:val="22"/>
          <w:szCs w:val="22"/>
        </w:rPr>
        <w:t xml:space="preserve"> </w:t>
      </w:r>
      <w:r w:rsidRPr="005E1EDD">
        <w:rPr>
          <w:rFonts w:ascii="Times New Roman" w:hAnsi="Times New Roman" w:cs="Times New Roman"/>
          <w:i/>
          <w:sz w:val="22"/>
          <w:szCs w:val="22"/>
        </w:rPr>
        <w:t>See</w:t>
      </w:r>
      <w:r w:rsidRPr="00BE784B">
        <w:rPr>
          <w:rFonts w:ascii="Times New Roman" w:hAnsi="Times New Roman" w:cs="Times New Roman"/>
          <w:sz w:val="22"/>
          <w:szCs w:val="22"/>
        </w:rPr>
        <w:t xml:space="preserve"> Exhibit 113-P (Expert Actuarial Peer Review Report of Esperanza Mead</w:t>
      </w:r>
      <w:r>
        <w:rPr>
          <w:rFonts w:ascii="Times New Roman" w:hAnsi="Times New Roman" w:cs="Times New Roman"/>
          <w:sz w:val="22"/>
          <w:szCs w:val="22"/>
        </w:rPr>
        <w:t xml:space="preserve">, </w:t>
      </w:r>
      <w:r w:rsidRPr="00BE784B">
        <w:rPr>
          <w:rFonts w:ascii="Times New Roman" w:hAnsi="Times New Roman" w:cs="Times New Roman"/>
          <w:sz w:val="22"/>
          <w:szCs w:val="22"/>
        </w:rPr>
        <w:t>March 10, 2017) and Exhibit 117-P (Expert Actuarial Review Report of Michael Solomon</w:t>
      </w:r>
      <w:r>
        <w:rPr>
          <w:rFonts w:ascii="Times New Roman" w:hAnsi="Times New Roman" w:cs="Times New Roman"/>
          <w:sz w:val="22"/>
          <w:szCs w:val="22"/>
        </w:rPr>
        <w:t xml:space="preserve">, </w:t>
      </w:r>
      <w:r w:rsidRPr="00BE784B">
        <w:rPr>
          <w:rFonts w:ascii="Times New Roman" w:hAnsi="Times New Roman" w:cs="Times New Roman"/>
          <w:sz w:val="22"/>
          <w:szCs w:val="22"/>
        </w:rPr>
        <w:t>March 27, 2017).</w:t>
      </w:r>
    </w:p>
    <w:p w14:paraId="5848F40B" w14:textId="77777777" w:rsidR="00434620" w:rsidRPr="00BE784B" w:rsidRDefault="00434620" w:rsidP="001960B7">
      <w:pPr>
        <w:pStyle w:val="EndnoteText"/>
        <w:rPr>
          <w:rFonts w:ascii="Times New Roman" w:hAnsi="Times New Roman" w:cs="Times New Roman"/>
          <w:sz w:val="22"/>
          <w:szCs w:val="22"/>
        </w:rPr>
      </w:pPr>
    </w:p>
  </w:endnote>
  <w:endnote w:id="154">
    <w:p w14:paraId="79EFB3B2" w14:textId="77777777" w:rsidR="00434620" w:rsidRPr="00453E30" w:rsidRDefault="00434620" w:rsidP="00453E30">
      <w:pPr>
        <w:pStyle w:val="EndnoteText"/>
        <w:rPr>
          <w:rFonts w:ascii="Times New Roman" w:hAnsi="Times New Roman" w:cs="Times New Roman"/>
          <w:sz w:val="22"/>
          <w:szCs w:val="22"/>
        </w:rPr>
      </w:pPr>
      <w:r w:rsidRPr="00E30D7F">
        <w:rPr>
          <w:rStyle w:val="EndnoteReference"/>
          <w:rFonts w:ascii="Times New Roman" w:hAnsi="Times New Roman" w:cs="Times New Roman"/>
          <w:sz w:val="22"/>
          <w:szCs w:val="22"/>
        </w:rPr>
        <w:endnoteRef/>
      </w:r>
      <w:r w:rsidRPr="00E30D7F">
        <w:rPr>
          <w:rFonts w:ascii="Times New Roman" w:hAnsi="Times New Roman" w:cs="Times New Roman"/>
          <w:sz w:val="22"/>
          <w:szCs w:val="22"/>
        </w:rPr>
        <w:t xml:space="preserve"> Anne Marie Towle, captive practice manager at JLT Insurance</w:t>
      </w:r>
      <w:r>
        <w:rPr>
          <w:rFonts w:ascii="Times New Roman" w:hAnsi="Times New Roman" w:cs="Times New Roman"/>
          <w:sz w:val="22"/>
          <w:szCs w:val="22"/>
        </w:rPr>
        <w:t xml:space="preserve"> </w:t>
      </w:r>
      <w:r w:rsidRPr="00E30D7F">
        <w:rPr>
          <w:rFonts w:ascii="Times New Roman" w:hAnsi="Times New Roman" w:cs="Times New Roman"/>
          <w:sz w:val="22"/>
          <w:szCs w:val="22"/>
        </w:rPr>
        <w:t xml:space="preserve">Management, released </w:t>
      </w:r>
      <w:r>
        <w:rPr>
          <w:rFonts w:ascii="Times New Roman" w:hAnsi="Times New Roman" w:cs="Times New Roman"/>
          <w:sz w:val="22"/>
          <w:szCs w:val="22"/>
        </w:rPr>
        <w:t xml:space="preserve">the following </w:t>
      </w:r>
      <w:r w:rsidRPr="00E30D7F">
        <w:rPr>
          <w:rFonts w:ascii="Times New Roman" w:hAnsi="Times New Roman" w:cs="Times New Roman"/>
          <w:sz w:val="22"/>
          <w:szCs w:val="22"/>
        </w:rPr>
        <w:t>statement following the verdict in</w:t>
      </w:r>
      <w:r>
        <w:rPr>
          <w:rFonts w:ascii="Times New Roman" w:hAnsi="Times New Roman" w:cs="Times New Roman"/>
          <w:sz w:val="22"/>
          <w:szCs w:val="22"/>
        </w:rPr>
        <w:t xml:space="preserve"> </w:t>
      </w:r>
      <w:r w:rsidRPr="00453E30">
        <w:rPr>
          <w:rFonts w:ascii="Times New Roman" w:hAnsi="Times New Roman" w:cs="Times New Roman"/>
          <w:i/>
          <w:sz w:val="22"/>
          <w:szCs w:val="22"/>
        </w:rPr>
        <w:t>Reserve</w:t>
      </w:r>
      <w:r>
        <w:rPr>
          <w:rFonts w:ascii="Times New Roman" w:hAnsi="Times New Roman" w:cs="Times New Roman"/>
          <w:sz w:val="22"/>
          <w:szCs w:val="22"/>
        </w:rPr>
        <w:t>: “</w:t>
      </w:r>
      <w:r w:rsidRPr="00453E30">
        <w:rPr>
          <w:rFonts w:ascii="Times New Roman" w:hAnsi="Times New Roman" w:cs="Times New Roman"/>
          <w:sz w:val="22"/>
          <w:szCs w:val="22"/>
        </w:rPr>
        <w:t>It would seem that this tax court case bears no</w:t>
      </w:r>
    </w:p>
    <w:p w14:paraId="7BCDB4FD" w14:textId="77777777" w:rsidR="00434620" w:rsidRPr="00E30D7F" w:rsidRDefault="00434620" w:rsidP="00386DA1">
      <w:pPr>
        <w:pStyle w:val="EndnoteText"/>
        <w:rPr>
          <w:rFonts w:ascii="Times New Roman" w:hAnsi="Times New Roman" w:cs="Times New Roman"/>
          <w:sz w:val="22"/>
          <w:szCs w:val="22"/>
        </w:rPr>
      </w:pPr>
      <w:r w:rsidRPr="00453E30">
        <w:rPr>
          <w:rFonts w:ascii="Times New Roman" w:hAnsi="Times New Roman" w:cs="Times New Roman"/>
          <w:sz w:val="22"/>
          <w:szCs w:val="22"/>
        </w:rPr>
        <w:t xml:space="preserve">resemblance to the </w:t>
      </w:r>
      <w:r w:rsidRPr="009E205B">
        <w:rPr>
          <w:rFonts w:ascii="Times New Roman" w:hAnsi="Times New Roman" w:cs="Times New Roman"/>
          <w:i/>
          <w:sz w:val="22"/>
          <w:szCs w:val="22"/>
        </w:rPr>
        <w:t>Avrahami</w:t>
      </w:r>
      <w:r w:rsidRPr="00453E30">
        <w:rPr>
          <w:rFonts w:ascii="Times New Roman" w:hAnsi="Times New Roman" w:cs="Times New Roman"/>
          <w:sz w:val="22"/>
          <w:szCs w:val="22"/>
        </w:rPr>
        <w:t xml:space="preserve"> case, as Reserve Mechanical</w:t>
      </w:r>
      <w:r>
        <w:rPr>
          <w:rFonts w:ascii="Times New Roman" w:hAnsi="Times New Roman" w:cs="Times New Roman"/>
          <w:sz w:val="22"/>
          <w:szCs w:val="22"/>
        </w:rPr>
        <w:t xml:space="preserve"> </w:t>
      </w:r>
      <w:r w:rsidRPr="00453E30">
        <w:rPr>
          <w:rFonts w:ascii="Times New Roman" w:hAnsi="Times New Roman" w:cs="Times New Roman"/>
          <w:sz w:val="22"/>
          <w:szCs w:val="22"/>
        </w:rPr>
        <w:t>cites numerous reasons and transactions showing how its</w:t>
      </w:r>
      <w:r>
        <w:rPr>
          <w:rFonts w:ascii="Times New Roman" w:hAnsi="Times New Roman" w:cs="Times New Roman"/>
          <w:sz w:val="22"/>
          <w:szCs w:val="22"/>
        </w:rPr>
        <w:t xml:space="preserve"> </w:t>
      </w:r>
      <w:r w:rsidRPr="00453E30">
        <w:rPr>
          <w:rFonts w:ascii="Times New Roman" w:hAnsi="Times New Roman" w:cs="Times New Roman"/>
          <w:sz w:val="22"/>
          <w:szCs w:val="22"/>
        </w:rPr>
        <w:t>business was insurance-related</w:t>
      </w:r>
      <w:r>
        <w:rPr>
          <w:rFonts w:ascii="Times New Roman" w:hAnsi="Times New Roman" w:cs="Times New Roman"/>
          <w:sz w:val="22"/>
          <w:szCs w:val="22"/>
        </w:rPr>
        <w:t>.</w:t>
      </w:r>
      <w:r w:rsidRPr="00453E30">
        <w:rPr>
          <w:rFonts w:ascii="Times New Roman" w:hAnsi="Times New Roman" w:cs="Times New Roman"/>
          <w:sz w:val="22"/>
          <w:szCs w:val="22"/>
        </w:rPr>
        <w:t>”</w:t>
      </w:r>
      <w:r>
        <w:rPr>
          <w:rFonts w:ascii="Times New Roman" w:hAnsi="Times New Roman" w:cs="Times New Roman"/>
          <w:sz w:val="22"/>
          <w:szCs w:val="22"/>
        </w:rPr>
        <w:t xml:space="preserve">  </w:t>
      </w:r>
      <w:r w:rsidRPr="00486BBC">
        <w:rPr>
          <w:rFonts w:ascii="Times New Roman" w:hAnsi="Times New Roman" w:cs="Times New Roman"/>
          <w:sz w:val="22"/>
          <w:szCs w:val="22"/>
        </w:rPr>
        <w:t>Ryan Work, vice president of government relations at the Self-Insurance Institute of America (SIIA), said he was also concerned</w:t>
      </w:r>
      <w:r>
        <w:rPr>
          <w:rFonts w:ascii="Times New Roman" w:hAnsi="Times New Roman" w:cs="Times New Roman"/>
          <w:sz w:val="22"/>
          <w:szCs w:val="22"/>
        </w:rPr>
        <w:t xml:space="preserve"> </w:t>
      </w:r>
      <w:r w:rsidRPr="00486BBC">
        <w:rPr>
          <w:rFonts w:ascii="Times New Roman" w:hAnsi="Times New Roman" w:cs="Times New Roman"/>
          <w:sz w:val="22"/>
          <w:szCs w:val="22"/>
        </w:rPr>
        <w:t xml:space="preserve">about the </w:t>
      </w:r>
      <w:r>
        <w:rPr>
          <w:rFonts w:ascii="Times New Roman" w:hAnsi="Times New Roman" w:cs="Times New Roman"/>
          <w:sz w:val="22"/>
          <w:szCs w:val="22"/>
        </w:rPr>
        <w:t xml:space="preserve">Court’s improper reliance on </w:t>
      </w:r>
      <w:r w:rsidRPr="00856817">
        <w:rPr>
          <w:rFonts w:ascii="Times New Roman" w:hAnsi="Times New Roman" w:cs="Times New Roman"/>
          <w:i/>
          <w:sz w:val="22"/>
          <w:szCs w:val="22"/>
        </w:rPr>
        <w:t>Avrahami</w:t>
      </w:r>
      <w:r>
        <w:rPr>
          <w:rFonts w:ascii="Times New Roman" w:hAnsi="Times New Roman" w:cs="Times New Roman"/>
          <w:sz w:val="22"/>
          <w:szCs w:val="22"/>
        </w:rPr>
        <w:t xml:space="preserve">, stating as follows: </w:t>
      </w:r>
      <w:r w:rsidRPr="00386DA1">
        <w:rPr>
          <w:rFonts w:ascii="Times New Roman" w:hAnsi="Times New Roman" w:cs="Times New Roman"/>
          <w:sz w:val="22"/>
          <w:szCs w:val="22"/>
        </w:rPr>
        <w:t xml:space="preserve">“Simply, looking at </w:t>
      </w:r>
      <w:r w:rsidRPr="00D713AE">
        <w:rPr>
          <w:rFonts w:ascii="Times New Roman" w:hAnsi="Times New Roman" w:cs="Times New Roman"/>
          <w:i/>
          <w:sz w:val="22"/>
          <w:szCs w:val="22"/>
        </w:rPr>
        <w:t>Reserve</w:t>
      </w:r>
      <w:r w:rsidRPr="00386DA1">
        <w:rPr>
          <w:rFonts w:ascii="Times New Roman" w:hAnsi="Times New Roman" w:cs="Times New Roman"/>
          <w:sz w:val="22"/>
          <w:szCs w:val="22"/>
        </w:rPr>
        <w:t xml:space="preserve"> and </w:t>
      </w:r>
      <w:r w:rsidRPr="00D713AE">
        <w:rPr>
          <w:rFonts w:ascii="Times New Roman" w:hAnsi="Times New Roman" w:cs="Times New Roman"/>
          <w:i/>
          <w:sz w:val="22"/>
          <w:szCs w:val="22"/>
        </w:rPr>
        <w:t>Avrahami</w:t>
      </w:r>
      <w:r w:rsidRPr="00386DA1">
        <w:rPr>
          <w:rFonts w:ascii="Times New Roman" w:hAnsi="Times New Roman" w:cs="Times New Roman"/>
          <w:sz w:val="22"/>
          <w:szCs w:val="22"/>
        </w:rPr>
        <w:t>, they’re</w:t>
      </w:r>
      <w:r>
        <w:rPr>
          <w:rFonts w:ascii="Times New Roman" w:hAnsi="Times New Roman" w:cs="Times New Roman"/>
          <w:sz w:val="22"/>
          <w:szCs w:val="22"/>
        </w:rPr>
        <w:t xml:space="preserve"> </w:t>
      </w:r>
      <w:r w:rsidRPr="00386DA1">
        <w:rPr>
          <w:rFonts w:ascii="Times New Roman" w:hAnsi="Times New Roman" w:cs="Times New Roman"/>
          <w:sz w:val="22"/>
          <w:szCs w:val="22"/>
        </w:rPr>
        <w:t>very</w:t>
      </w:r>
      <w:r>
        <w:rPr>
          <w:rFonts w:ascii="Times New Roman" w:hAnsi="Times New Roman" w:cs="Times New Roman"/>
          <w:sz w:val="22"/>
          <w:szCs w:val="22"/>
        </w:rPr>
        <w:t xml:space="preserve"> </w:t>
      </w:r>
      <w:r w:rsidRPr="00386DA1">
        <w:rPr>
          <w:rFonts w:ascii="Times New Roman" w:hAnsi="Times New Roman" w:cs="Times New Roman"/>
          <w:sz w:val="22"/>
          <w:szCs w:val="22"/>
        </w:rPr>
        <w:t>different captives in different areas of the country, looking at</w:t>
      </w:r>
      <w:r>
        <w:rPr>
          <w:rFonts w:ascii="Times New Roman" w:hAnsi="Times New Roman" w:cs="Times New Roman"/>
          <w:sz w:val="22"/>
          <w:szCs w:val="22"/>
        </w:rPr>
        <w:t xml:space="preserve"> </w:t>
      </w:r>
      <w:r w:rsidRPr="00386DA1">
        <w:rPr>
          <w:rFonts w:ascii="Times New Roman" w:hAnsi="Times New Roman" w:cs="Times New Roman"/>
          <w:sz w:val="22"/>
          <w:szCs w:val="22"/>
        </w:rPr>
        <w:t>different risks.”</w:t>
      </w:r>
      <w:r>
        <w:rPr>
          <w:rFonts w:ascii="Times New Roman" w:hAnsi="Times New Roman" w:cs="Times New Roman"/>
          <w:sz w:val="22"/>
          <w:szCs w:val="22"/>
        </w:rPr>
        <w:t xml:space="preserve">  </w:t>
      </w:r>
      <w:r w:rsidRPr="00386DA1">
        <w:rPr>
          <w:rFonts w:ascii="Times New Roman" w:hAnsi="Times New Roman" w:cs="Times New Roman"/>
          <w:sz w:val="22"/>
          <w:szCs w:val="22"/>
        </w:rPr>
        <w:t>“You can’t compare terrorism cover in the greater Phoenix area to a</w:t>
      </w:r>
      <w:r>
        <w:rPr>
          <w:rFonts w:ascii="Times New Roman" w:hAnsi="Times New Roman" w:cs="Times New Roman"/>
          <w:sz w:val="22"/>
          <w:szCs w:val="22"/>
        </w:rPr>
        <w:t xml:space="preserve"> </w:t>
      </w:r>
      <w:r w:rsidRPr="00386DA1">
        <w:rPr>
          <w:rFonts w:ascii="Times New Roman" w:hAnsi="Times New Roman" w:cs="Times New Roman"/>
          <w:sz w:val="22"/>
          <w:szCs w:val="22"/>
        </w:rPr>
        <w:t>captive covering various mining risks in Nevada.”</w:t>
      </w:r>
      <w:r>
        <w:rPr>
          <w:rFonts w:ascii="Times New Roman" w:hAnsi="Times New Roman" w:cs="Times New Roman"/>
          <w:sz w:val="22"/>
          <w:szCs w:val="22"/>
        </w:rPr>
        <w:t xml:space="preserve">  </w:t>
      </w:r>
      <w:r w:rsidRPr="00386DA1">
        <w:rPr>
          <w:rFonts w:ascii="Times New Roman" w:hAnsi="Times New Roman" w:cs="Times New Roman"/>
          <w:sz w:val="22"/>
          <w:szCs w:val="22"/>
        </w:rPr>
        <w:t xml:space="preserve">“I was surprised that there were so many references to </w:t>
      </w:r>
      <w:r w:rsidRPr="006F3C72">
        <w:rPr>
          <w:rFonts w:ascii="Times New Roman" w:hAnsi="Times New Roman" w:cs="Times New Roman"/>
          <w:i/>
          <w:sz w:val="22"/>
          <w:szCs w:val="22"/>
        </w:rPr>
        <w:t>Avrahami</w:t>
      </w:r>
      <w:r w:rsidRPr="00386DA1">
        <w:rPr>
          <w:rFonts w:ascii="Times New Roman" w:hAnsi="Times New Roman" w:cs="Times New Roman"/>
          <w:sz w:val="22"/>
          <w:szCs w:val="22"/>
        </w:rPr>
        <w:t>, it</w:t>
      </w:r>
      <w:r>
        <w:rPr>
          <w:rFonts w:ascii="Times New Roman" w:hAnsi="Times New Roman" w:cs="Times New Roman"/>
          <w:sz w:val="22"/>
          <w:szCs w:val="22"/>
        </w:rPr>
        <w:t xml:space="preserve"> </w:t>
      </w:r>
      <w:r w:rsidRPr="00386DA1">
        <w:rPr>
          <w:rFonts w:ascii="Times New Roman" w:hAnsi="Times New Roman" w:cs="Times New Roman"/>
          <w:sz w:val="22"/>
          <w:szCs w:val="22"/>
        </w:rPr>
        <w:t>is fresh in the court’s mind, and I understand that, but there is also</w:t>
      </w:r>
      <w:r>
        <w:rPr>
          <w:rFonts w:ascii="Times New Roman" w:hAnsi="Times New Roman" w:cs="Times New Roman"/>
          <w:sz w:val="22"/>
          <w:szCs w:val="22"/>
        </w:rPr>
        <w:t xml:space="preserve"> </w:t>
      </w:r>
      <w:r w:rsidRPr="00386DA1">
        <w:rPr>
          <w:rFonts w:ascii="Times New Roman" w:hAnsi="Times New Roman" w:cs="Times New Roman"/>
          <w:sz w:val="22"/>
          <w:szCs w:val="22"/>
        </w:rPr>
        <w:t>a number of case law and precedent before that, which was wholly</w:t>
      </w:r>
      <w:r>
        <w:rPr>
          <w:rFonts w:ascii="Times New Roman" w:hAnsi="Times New Roman" w:cs="Times New Roman"/>
          <w:sz w:val="22"/>
          <w:szCs w:val="22"/>
        </w:rPr>
        <w:t xml:space="preserve"> </w:t>
      </w:r>
      <w:r w:rsidRPr="00386DA1">
        <w:rPr>
          <w:rFonts w:ascii="Times New Roman" w:hAnsi="Times New Roman" w:cs="Times New Roman"/>
          <w:sz w:val="22"/>
          <w:szCs w:val="22"/>
        </w:rPr>
        <w:t>set aside.”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865D09" w14:textId="77777777" w:rsidR="00330EE8" w:rsidRDefault="00330EE8">
    <w:pPr>
      <w:pStyle w:val="Footer"/>
      <w:jc w:val="center"/>
    </w:pPr>
  </w:p>
  <w:p w14:paraId="0C03D2FB" w14:textId="77777777" w:rsidR="00330EE8" w:rsidRDefault="00330EE8">
    <w:pPr>
      <w:pStyle w:val="Footer"/>
      <w:jc w:val="center"/>
    </w:pPr>
  </w:p>
  <w:sdt>
    <w:sdtPr>
      <w:id w:val="886295937"/>
      <w:docPartObj>
        <w:docPartGallery w:val="Page Numbers (Bottom of Page)"/>
        <w:docPartUnique/>
      </w:docPartObj>
    </w:sdtPr>
    <w:sdtEndPr>
      <w:rPr>
        <w:noProof/>
      </w:rPr>
    </w:sdtEndPr>
    <w:sdtContent>
      <w:p w14:paraId="69CEE6AF" w14:textId="5A83C405" w:rsidR="00434620" w:rsidRDefault="0043462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9F3F2B4" w14:textId="77777777" w:rsidR="00434620" w:rsidRDefault="00434620" w:rsidP="00F0659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4B2560" w14:textId="77777777" w:rsidR="00434620" w:rsidRDefault="00434620" w:rsidP="00B61CA0">
      <w:pPr>
        <w:spacing w:after="0" w:line="240" w:lineRule="auto"/>
      </w:pPr>
      <w:r>
        <w:separator/>
      </w:r>
    </w:p>
  </w:footnote>
  <w:footnote w:type="continuationSeparator" w:id="0">
    <w:p w14:paraId="241BD2A5" w14:textId="77777777" w:rsidR="00434620" w:rsidRDefault="00434620" w:rsidP="00B61C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E49E9"/>
    <w:multiLevelType w:val="hybridMultilevel"/>
    <w:tmpl w:val="6BBCA820"/>
    <w:lvl w:ilvl="0" w:tplc="CE6EEC70">
      <w:start w:val="1"/>
      <w:numFmt w:val="bullet"/>
      <w:lvlText w:val=""/>
      <w:lvlJc w:val="left"/>
      <w:pPr>
        <w:ind w:left="432" w:hanging="288"/>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C55B2"/>
    <w:multiLevelType w:val="hybridMultilevel"/>
    <w:tmpl w:val="88C0B87E"/>
    <w:lvl w:ilvl="0" w:tplc="CD2A65D4">
      <w:start w:val="1"/>
      <w:numFmt w:val="bullet"/>
      <w:lvlText w:val=""/>
      <w:lvlJc w:val="left"/>
      <w:pPr>
        <w:ind w:left="432"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CC20FB"/>
    <w:multiLevelType w:val="hybridMultilevel"/>
    <w:tmpl w:val="D340C586"/>
    <w:lvl w:ilvl="0" w:tplc="135E447E">
      <w:start w:val="1"/>
      <w:numFmt w:val="bullet"/>
      <w:lvlText w:val=""/>
      <w:lvlJc w:val="left"/>
      <w:pPr>
        <w:ind w:left="432"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29711C"/>
    <w:multiLevelType w:val="hybridMultilevel"/>
    <w:tmpl w:val="26EED2E4"/>
    <w:lvl w:ilvl="0" w:tplc="5BE86A08">
      <w:start w:val="1"/>
      <w:numFmt w:val="bullet"/>
      <w:lvlText w:val=""/>
      <w:lvlJc w:val="left"/>
      <w:pPr>
        <w:ind w:left="432"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B73213"/>
    <w:multiLevelType w:val="hybridMultilevel"/>
    <w:tmpl w:val="63B0C3FA"/>
    <w:lvl w:ilvl="0" w:tplc="0480FAFA">
      <w:start w:val="1"/>
      <w:numFmt w:val="bullet"/>
      <w:lvlText w:val=""/>
      <w:lvlJc w:val="left"/>
      <w:pPr>
        <w:ind w:left="432"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4E6A3F"/>
    <w:multiLevelType w:val="hybridMultilevel"/>
    <w:tmpl w:val="5D8E9960"/>
    <w:lvl w:ilvl="0" w:tplc="7872541C">
      <w:start w:val="1"/>
      <w:numFmt w:val="bullet"/>
      <w:lvlText w:val=""/>
      <w:lvlJc w:val="left"/>
      <w:pPr>
        <w:ind w:left="432"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804733"/>
    <w:multiLevelType w:val="hybridMultilevel"/>
    <w:tmpl w:val="61FC7734"/>
    <w:lvl w:ilvl="0" w:tplc="71368C34">
      <w:start w:val="1"/>
      <w:numFmt w:val="bullet"/>
      <w:lvlText w:val=""/>
      <w:lvlJc w:val="left"/>
      <w:pPr>
        <w:ind w:left="432"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83578F"/>
    <w:multiLevelType w:val="hybridMultilevel"/>
    <w:tmpl w:val="003A0724"/>
    <w:lvl w:ilvl="0" w:tplc="0B26ED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B007E68"/>
    <w:multiLevelType w:val="hybridMultilevel"/>
    <w:tmpl w:val="76004E5A"/>
    <w:lvl w:ilvl="0" w:tplc="EE363554">
      <w:start w:val="1"/>
      <w:numFmt w:val="bullet"/>
      <w:lvlText w:val=""/>
      <w:lvlJc w:val="left"/>
      <w:pPr>
        <w:ind w:left="432"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1B1C72"/>
    <w:multiLevelType w:val="hybridMultilevel"/>
    <w:tmpl w:val="DD2A3C90"/>
    <w:lvl w:ilvl="0" w:tplc="A45000FC">
      <w:start w:val="1"/>
      <w:numFmt w:val="bullet"/>
      <w:lvlText w:val=""/>
      <w:lvlJc w:val="left"/>
      <w:pPr>
        <w:ind w:left="432"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756D28"/>
    <w:multiLevelType w:val="hybridMultilevel"/>
    <w:tmpl w:val="ABA458E4"/>
    <w:lvl w:ilvl="0" w:tplc="F8988A6E">
      <w:start w:val="1"/>
      <w:numFmt w:val="bullet"/>
      <w:lvlText w:val=""/>
      <w:lvlJc w:val="left"/>
      <w:pPr>
        <w:ind w:left="432"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1D77DA"/>
    <w:multiLevelType w:val="hybridMultilevel"/>
    <w:tmpl w:val="709A483E"/>
    <w:lvl w:ilvl="0" w:tplc="B51C78A8">
      <w:start w:val="1"/>
      <w:numFmt w:val="bullet"/>
      <w:lvlText w:val=""/>
      <w:lvlJc w:val="left"/>
      <w:pPr>
        <w:ind w:left="432"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5C7761"/>
    <w:multiLevelType w:val="hybridMultilevel"/>
    <w:tmpl w:val="3AA8A8E2"/>
    <w:lvl w:ilvl="0" w:tplc="ACD844FE">
      <w:start w:val="1"/>
      <w:numFmt w:val="bullet"/>
      <w:lvlText w:val=""/>
      <w:lvlJc w:val="left"/>
      <w:pPr>
        <w:ind w:left="432" w:hanging="288"/>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4669F7"/>
    <w:multiLevelType w:val="hybridMultilevel"/>
    <w:tmpl w:val="29B0B7BE"/>
    <w:lvl w:ilvl="0" w:tplc="D27C9FDC">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3504175"/>
    <w:multiLevelType w:val="hybridMultilevel"/>
    <w:tmpl w:val="C90437DA"/>
    <w:lvl w:ilvl="0" w:tplc="64384DBA">
      <w:start w:val="1"/>
      <w:numFmt w:val="bullet"/>
      <w:lvlText w:val=""/>
      <w:lvlJc w:val="left"/>
      <w:pPr>
        <w:ind w:left="432"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B43CE1"/>
    <w:multiLevelType w:val="hybridMultilevel"/>
    <w:tmpl w:val="A560E04C"/>
    <w:lvl w:ilvl="0" w:tplc="5490A370">
      <w:start w:val="1"/>
      <w:numFmt w:val="bullet"/>
      <w:lvlText w:val=""/>
      <w:lvlJc w:val="left"/>
      <w:pPr>
        <w:ind w:left="432" w:hanging="288"/>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003C51"/>
    <w:multiLevelType w:val="hybridMultilevel"/>
    <w:tmpl w:val="4CE09332"/>
    <w:lvl w:ilvl="0" w:tplc="DBB2B3A0">
      <w:start w:val="1"/>
      <w:numFmt w:val="bullet"/>
      <w:lvlText w:val=""/>
      <w:lvlJc w:val="left"/>
      <w:pPr>
        <w:ind w:left="432"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2C1A11"/>
    <w:multiLevelType w:val="hybridMultilevel"/>
    <w:tmpl w:val="8460D0AA"/>
    <w:lvl w:ilvl="0" w:tplc="4942EEEC">
      <w:start w:val="1"/>
      <w:numFmt w:val="bullet"/>
      <w:lvlText w:val=""/>
      <w:lvlJc w:val="left"/>
      <w:pPr>
        <w:ind w:left="432"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512282"/>
    <w:multiLevelType w:val="hybridMultilevel"/>
    <w:tmpl w:val="0AFA8F00"/>
    <w:lvl w:ilvl="0" w:tplc="37D44E98">
      <w:start w:val="1"/>
      <w:numFmt w:val="bullet"/>
      <w:lvlText w:val=""/>
      <w:lvlJc w:val="left"/>
      <w:pPr>
        <w:ind w:left="432"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B447AB"/>
    <w:multiLevelType w:val="hybridMultilevel"/>
    <w:tmpl w:val="7FD44C44"/>
    <w:lvl w:ilvl="0" w:tplc="2BF83C9C">
      <w:start w:val="1"/>
      <w:numFmt w:val="bullet"/>
      <w:lvlText w:val=""/>
      <w:lvlJc w:val="left"/>
      <w:pPr>
        <w:ind w:left="432"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A841FF"/>
    <w:multiLevelType w:val="hybridMultilevel"/>
    <w:tmpl w:val="0540BCA0"/>
    <w:lvl w:ilvl="0" w:tplc="E5DE27DC">
      <w:start w:val="1"/>
      <w:numFmt w:val="bullet"/>
      <w:lvlText w:val=""/>
      <w:lvlJc w:val="left"/>
      <w:pPr>
        <w:ind w:left="432" w:firstLine="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780E70"/>
    <w:multiLevelType w:val="hybridMultilevel"/>
    <w:tmpl w:val="2242BCBC"/>
    <w:lvl w:ilvl="0" w:tplc="128CC6FE">
      <w:start w:val="1"/>
      <w:numFmt w:val="bullet"/>
      <w:suff w:val="space"/>
      <w:lvlText w:val=""/>
      <w:lvlJc w:val="left"/>
      <w:pPr>
        <w:ind w:left="216"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244293"/>
    <w:multiLevelType w:val="hybridMultilevel"/>
    <w:tmpl w:val="AA0AF0E6"/>
    <w:lvl w:ilvl="0" w:tplc="D354F1EC">
      <w:start w:val="1"/>
      <w:numFmt w:val="bullet"/>
      <w:lvlText w:val=""/>
      <w:lvlJc w:val="left"/>
      <w:pPr>
        <w:ind w:left="432"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93047B"/>
    <w:multiLevelType w:val="hybridMultilevel"/>
    <w:tmpl w:val="3028F2A8"/>
    <w:lvl w:ilvl="0" w:tplc="C7909474">
      <w:start w:val="1"/>
      <w:numFmt w:val="bullet"/>
      <w:lvlText w:val=""/>
      <w:lvlJc w:val="left"/>
      <w:pPr>
        <w:ind w:left="432"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376985"/>
    <w:multiLevelType w:val="hybridMultilevel"/>
    <w:tmpl w:val="B324E34A"/>
    <w:lvl w:ilvl="0" w:tplc="C96CCE30">
      <w:start w:val="1"/>
      <w:numFmt w:val="bullet"/>
      <w:lvlText w:val=""/>
      <w:lvlJc w:val="left"/>
      <w:pPr>
        <w:ind w:left="432"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B24923"/>
    <w:multiLevelType w:val="hybridMultilevel"/>
    <w:tmpl w:val="11762A66"/>
    <w:lvl w:ilvl="0" w:tplc="B426ABD4">
      <w:start w:val="1"/>
      <w:numFmt w:val="bullet"/>
      <w:lvlText w:val=""/>
      <w:lvlJc w:val="left"/>
      <w:pPr>
        <w:ind w:left="432" w:hanging="288"/>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CD6DE0"/>
    <w:multiLevelType w:val="hybridMultilevel"/>
    <w:tmpl w:val="1250C560"/>
    <w:lvl w:ilvl="0" w:tplc="41363124">
      <w:start w:val="1"/>
      <w:numFmt w:val="bullet"/>
      <w:lvlText w:val=""/>
      <w:lvlJc w:val="left"/>
      <w:pPr>
        <w:ind w:left="432" w:hanging="288"/>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297274"/>
    <w:multiLevelType w:val="hybridMultilevel"/>
    <w:tmpl w:val="35043328"/>
    <w:lvl w:ilvl="0" w:tplc="65308298">
      <w:start w:val="1"/>
      <w:numFmt w:val="bullet"/>
      <w:lvlText w:val=""/>
      <w:lvlJc w:val="left"/>
      <w:pPr>
        <w:ind w:left="432"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8663EA"/>
    <w:multiLevelType w:val="hybridMultilevel"/>
    <w:tmpl w:val="B26E9770"/>
    <w:lvl w:ilvl="0" w:tplc="A002E826">
      <w:start w:val="1"/>
      <w:numFmt w:val="bullet"/>
      <w:lvlText w:val=""/>
      <w:lvlJc w:val="left"/>
      <w:pPr>
        <w:ind w:left="432"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896105"/>
    <w:multiLevelType w:val="hybridMultilevel"/>
    <w:tmpl w:val="75746DAE"/>
    <w:lvl w:ilvl="0" w:tplc="85DA9BA0">
      <w:start w:val="1"/>
      <w:numFmt w:val="bullet"/>
      <w:lvlText w:val=""/>
      <w:lvlJc w:val="left"/>
      <w:pPr>
        <w:ind w:left="432" w:hanging="288"/>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5264A7"/>
    <w:multiLevelType w:val="hybridMultilevel"/>
    <w:tmpl w:val="3C4A6336"/>
    <w:lvl w:ilvl="0" w:tplc="A0E60596">
      <w:start w:val="1"/>
      <w:numFmt w:val="bullet"/>
      <w:lvlText w:val=""/>
      <w:lvlJc w:val="left"/>
      <w:pPr>
        <w:ind w:left="432"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7A40E6"/>
    <w:multiLevelType w:val="hybridMultilevel"/>
    <w:tmpl w:val="09CE7F4A"/>
    <w:lvl w:ilvl="0" w:tplc="47A62C9C">
      <w:start w:val="1"/>
      <w:numFmt w:val="bullet"/>
      <w:lvlText w:val=""/>
      <w:lvlJc w:val="left"/>
      <w:pPr>
        <w:ind w:left="432"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4D12E0"/>
    <w:multiLevelType w:val="hybridMultilevel"/>
    <w:tmpl w:val="BED21182"/>
    <w:lvl w:ilvl="0" w:tplc="6262E3E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9967B00"/>
    <w:multiLevelType w:val="hybridMultilevel"/>
    <w:tmpl w:val="5636D0D8"/>
    <w:lvl w:ilvl="0" w:tplc="6262E3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301343"/>
    <w:multiLevelType w:val="hybridMultilevel"/>
    <w:tmpl w:val="45C85AC2"/>
    <w:lvl w:ilvl="0" w:tplc="4356AE22">
      <w:start w:val="1"/>
      <w:numFmt w:val="bullet"/>
      <w:lvlText w:val=""/>
      <w:lvlJc w:val="left"/>
      <w:pPr>
        <w:ind w:left="288" w:hanging="288"/>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BB62F5"/>
    <w:multiLevelType w:val="hybridMultilevel"/>
    <w:tmpl w:val="40742FB8"/>
    <w:lvl w:ilvl="0" w:tplc="C554B358">
      <w:start w:val="1"/>
      <w:numFmt w:val="bullet"/>
      <w:lvlText w:val=""/>
      <w:lvlJc w:val="left"/>
      <w:pPr>
        <w:ind w:left="432" w:hanging="288"/>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E33A27"/>
    <w:multiLevelType w:val="hybridMultilevel"/>
    <w:tmpl w:val="30FE0132"/>
    <w:lvl w:ilvl="0" w:tplc="001C7C2A">
      <w:start w:val="1"/>
      <w:numFmt w:val="bullet"/>
      <w:lvlText w:val=""/>
      <w:lvlJc w:val="left"/>
      <w:pPr>
        <w:ind w:left="432" w:hanging="288"/>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DA3B04"/>
    <w:multiLevelType w:val="hybridMultilevel"/>
    <w:tmpl w:val="9BE89164"/>
    <w:lvl w:ilvl="0" w:tplc="AB2E86FC">
      <w:start w:val="1"/>
      <w:numFmt w:val="bullet"/>
      <w:lvlText w:val=""/>
      <w:lvlJc w:val="left"/>
      <w:pPr>
        <w:ind w:left="432" w:hanging="288"/>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7D245C"/>
    <w:multiLevelType w:val="hybridMultilevel"/>
    <w:tmpl w:val="3984E702"/>
    <w:lvl w:ilvl="0" w:tplc="912E0786">
      <w:start w:val="1"/>
      <w:numFmt w:val="bullet"/>
      <w:lvlText w:val=""/>
      <w:lvlJc w:val="left"/>
      <w:pPr>
        <w:ind w:left="432"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713D36"/>
    <w:multiLevelType w:val="hybridMultilevel"/>
    <w:tmpl w:val="0E704930"/>
    <w:lvl w:ilvl="0" w:tplc="98D6EF24">
      <w:start w:val="1"/>
      <w:numFmt w:val="bullet"/>
      <w:lvlText w:val=""/>
      <w:lvlJc w:val="left"/>
      <w:pPr>
        <w:ind w:left="432"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581993"/>
    <w:multiLevelType w:val="hybridMultilevel"/>
    <w:tmpl w:val="A980345C"/>
    <w:lvl w:ilvl="0" w:tplc="525AAC48">
      <w:start w:val="1"/>
      <w:numFmt w:val="bullet"/>
      <w:lvlText w:val=""/>
      <w:lvlJc w:val="left"/>
      <w:pPr>
        <w:ind w:left="432"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786084"/>
    <w:multiLevelType w:val="hybridMultilevel"/>
    <w:tmpl w:val="DAEA00C0"/>
    <w:lvl w:ilvl="0" w:tplc="A56807BA">
      <w:start w:val="1"/>
      <w:numFmt w:val="bullet"/>
      <w:lvlText w:val=""/>
      <w:lvlJc w:val="left"/>
      <w:pPr>
        <w:ind w:left="432" w:hanging="288"/>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8742CF"/>
    <w:multiLevelType w:val="hybridMultilevel"/>
    <w:tmpl w:val="75B62F60"/>
    <w:lvl w:ilvl="0" w:tplc="1F5EB7E8">
      <w:start w:val="1"/>
      <w:numFmt w:val="bullet"/>
      <w:lvlText w:val=""/>
      <w:lvlJc w:val="left"/>
      <w:pPr>
        <w:ind w:left="432"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3072C4"/>
    <w:multiLevelType w:val="hybridMultilevel"/>
    <w:tmpl w:val="312CED2C"/>
    <w:lvl w:ilvl="0" w:tplc="996ADFE6">
      <w:start w:val="1"/>
      <w:numFmt w:val="bullet"/>
      <w:lvlText w:val=""/>
      <w:lvlJc w:val="left"/>
      <w:pPr>
        <w:ind w:left="432"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E5F4B4B"/>
    <w:multiLevelType w:val="hybridMultilevel"/>
    <w:tmpl w:val="7EDC208C"/>
    <w:lvl w:ilvl="0" w:tplc="2ADA35EC">
      <w:start w:val="1"/>
      <w:numFmt w:val="bullet"/>
      <w:lvlText w:val=""/>
      <w:lvlJc w:val="left"/>
      <w:pPr>
        <w:ind w:left="432"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7C0745"/>
    <w:multiLevelType w:val="hybridMultilevel"/>
    <w:tmpl w:val="17020020"/>
    <w:lvl w:ilvl="0" w:tplc="81EA695A">
      <w:start w:val="1"/>
      <w:numFmt w:val="bullet"/>
      <w:lvlText w:val=""/>
      <w:lvlJc w:val="left"/>
      <w:pPr>
        <w:ind w:left="432" w:hanging="288"/>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7"/>
  </w:num>
  <w:num w:numId="3">
    <w:abstractNumId w:val="31"/>
  </w:num>
  <w:num w:numId="4">
    <w:abstractNumId w:val="5"/>
  </w:num>
  <w:num w:numId="5">
    <w:abstractNumId w:val="3"/>
  </w:num>
  <w:num w:numId="6">
    <w:abstractNumId w:val="43"/>
  </w:num>
  <w:num w:numId="7">
    <w:abstractNumId w:val="42"/>
  </w:num>
  <w:num w:numId="8">
    <w:abstractNumId w:val="2"/>
  </w:num>
  <w:num w:numId="9">
    <w:abstractNumId w:val="44"/>
  </w:num>
  <w:num w:numId="10">
    <w:abstractNumId w:val="23"/>
  </w:num>
  <w:num w:numId="11">
    <w:abstractNumId w:val="24"/>
  </w:num>
  <w:num w:numId="12">
    <w:abstractNumId w:val="30"/>
  </w:num>
  <w:num w:numId="13">
    <w:abstractNumId w:val="9"/>
  </w:num>
  <w:num w:numId="14">
    <w:abstractNumId w:val="11"/>
  </w:num>
  <w:num w:numId="15">
    <w:abstractNumId w:val="16"/>
  </w:num>
  <w:num w:numId="16">
    <w:abstractNumId w:val="27"/>
  </w:num>
  <w:num w:numId="17">
    <w:abstractNumId w:val="22"/>
  </w:num>
  <w:num w:numId="18">
    <w:abstractNumId w:val="14"/>
  </w:num>
  <w:num w:numId="19">
    <w:abstractNumId w:val="18"/>
  </w:num>
  <w:num w:numId="20">
    <w:abstractNumId w:val="38"/>
  </w:num>
  <w:num w:numId="21">
    <w:abstractNumId w:val="8"/>
  </w:num>
  <w:num w:numId="22">
    <w:abstractNumId w:val="19"/>
  </w:num>
  <w:num w:numId="23">
    <w:abstractNumId w:val="40"/>
  </w:num>
  <w:num w:numId="24">
    <w:abstractNumId w:val="1"/>
  </w:num>
  <w:num w:numId="25">
    <w:abstractNumId w:val="6"/>
  </w:num>
  <w:num w:numId="26">
    <w:abstractNumId w:val="39"/>
  </w:num>
  <w:num w:numId="27">
    <w:abstractNumId w:val="4"/>
  </w:num>
  <w:num w:numId="28">
    <w:abstractNumId w:val="28"/>
  </w:num>
  <w:num w:numId="29">
    <w:abstractNumId w:val="17"/>
  </w:num>
  <w:num w:numId="30">
    <w:abstractNumId w:val="10"/>
  </w:num>
  <w:num w:numId="31">
    <w:abstractNumId w:val="20"/>
  </w:num>
  <w:num w:numId="32">
    <w:abstractNumId w:val="29"/>
  </w:num>
  <w:num w:numId="33">
    <w:abstractNumId w:val="41"/>
  </w:num>
  <w:num w:numId="34">
    <w:abstractNumId w:val="12"/>
  </w:num>
  <w:num w:numId="35">
    <w:abstractNumId w:val="34"/>
  </w:num>
  <w:num w:numId="36">
    <w:abstractNumId w:val="15"/>
  </w:num>
  <w:num w:numId="37">
    <w:abstractNumId w:val="25"/>
  </w:num>
  <w:num w:numId="38">
    <w:abstractNumId w:val="36"/>
  </w:num>
  <w:num w:numId="39">
    <w:abstractNumId w:val="35"/>
  </w:num>
  <w:num w:numId="40">
    <w:abstractNumId w:val="45"/>
  </w:num>
  <w:num w:numId="41">
    <w:abstractNumId w:val="37"/>
  </w:num>
  <w:num w:numId="42">
    <w:abstractNumId w:val="26"/>
  </w:num>
  <w:num w:numId="43">
    <w:abstractNumId w:val="0"/>
  </w:num>
  <w:num w:numId="44">
    <w:abstractNumId w:val="32"/>
  </w:num>
  <w:num w:numId="45">
    <w:abstractNumId w:val="33"/>
  </w:num>
  <w:num w:numId="46">
    <w:abstractNumId w:val="13"/>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CA0"/>
    <w:rsid w:val="000008D8"/>
    <w:rsid w:val="00000C8E"/>
    <w:rsid w:val="00000D4E"/>
    <w:rsid w:val="0000136F"/>
    <w:rsid w:val="00001381"/>
    <w:rsid w:val="00001540"/>
    <w:rsid w:val="0000185E"/>
    <w:rsid w:val="00001A68"/>
    <w:rsid w:val="00001C27"/>
    <w:rsid w:val="00001F4F"/>
    <w:rsid w:val="000020A8"/>
    <w:rsid w:val="0000213C"/>
    <w:rsid w:val="000021EC"/>
    <w:rsid w:val="00002A94"/>
    <w:rsid w:val="00002AD7"/>
    <w:rsid w:val="0000319D"/>
    <w:rsid w:val="00003281"/>
    <w:rsid w:val="00003463"/>
    <w:rsid w:val="000034F5"/>
    <w:rsid w:val="000036C0"/>
    <w:rsid w:val="00003D6B"/>
    <w:rsid w:val="00003D95"/>
    <w:rsid w:val="0000418E"/>
    <w:rsid w:val="00004782"/>
    <w:rsid w:val="000050B5"/>
    <w:rsid w:val="000052D6"/>
    <w:rsid w:val="00005764"/>
    <w:rsid w:val="00005D53"/>
    <w:rsid w:val="00005DE3"/>
    <w:rsid w:val="000061FD"/>
    <w:rsid w:val="00006597"/>
    <w:rsid w:val="000067AF"/>
    <w:rsid w:val="00006EB1"/>
    <w:rsid w:val="000076EC"/>
    <w:rsid w:val="000078AE"/>
    <w:rsid w:val="000078E5"/>
    <w:rsid w:val="000079E0"/>
    <w:rsid w:val="00007A25"/>
    <w:rsid w:val="00007BDD"/>
    <w:rsid w:val="00007C7F"/>
    <w:rsid w:val="00007ECD"/>
    <w:rsid w:val="00010231"/>
    <w:rsid w:val="00010674"/>
    <w:rsid w:val="000109E0"/>
    <w:rsid w:val="00010BCD"/>
    <w:rsid w:val="00010D2A"/>
    <w:rsid w:val="00011073"/>
    <w:rsid w:val="00011129"/>
    <w:rsid w:val="000114EE"/>
    <w:rsid w:val="0001184E"/>
    <w:rsid w:val="00011FC7"/>
    <w:rsid w:val="00012559"/>
    <w:rsid w:val="00012AE0"/>
    <w:rsid w:val="00012E5F"/>
    <w:rsid w:val="0001315F"/>
    <w:rsid w:val="00013909"/>
    <w:rsid w:val="00013BE6"/>
    <w:rsid w:val="00013C98"/>
    <w:rsid w:val="000143DA"/>
    <w:rsid w:val="00014719"/>
    <w:rsid w:val="000147D3"/>
    <w:rsid w:val="000149CB"/>
    <w:rsid w:val="0001510A"/>
    <w:rsid w:val="000154FB"/>
    <w:rsid w:val="00015701"/>
    <w:rsid w:val="00015A45"/>
    <w:rsid w:val="0001676D"/>
    <w:rsid w:val="000171FA"/>
    <w:rsid w:val="00017A85"/>
    <w:rsid w:val="00020A67"/>
    <w:rsid w:val="00021599"/>
    <w:rsid w:val="00021A03"/>
    <w:rsid w:val="00021B20"/>
    <w:rsid w:val="00021BAA"/>
    <w:rsid w:val="00021C71"/>
    <w:rsid w:val="00021D9E"/>
    <w:rsid w:val="00021F28"/>
    <w:rsid w:val="0002227A"/>
    <w:rsid w:val="000225E1"/>
    <w:rsid w:val="000226D7"/>
    <w:rsid w:val="00022747"/>
    <w:rsid w:val="00022B31"/>
    <w:rsid w:val="00022F68"/>
    <w:rsid w:val="00023111"/>
    <w:rsid w:val="0002311B"/>
    <w:rsid w:val="0002364A"/>
    <w:rsid w:val="00023B9F"/>
    <w:rsid w:val="00023F34"/>
    <w:rsid w:val="00024002"/>
    <w:rsid w:val="000240B0"/>
    <w:rsid w:val="0002497D"/>
    <w:rsid w:val="00024BBD"/>
    <w:rsid w:val="00024BF5"/>
    <w:rsid w:val="0002538A"/>
    <w:rsid w:val="00025825"/>
    <w:rsid w:val="00025881"/>
    <w:rsid w:val="000259CE"/>
    <w:rsid w:val="0002630C"/>
    <w:rsid w:val="000264A4"/>
    <w:rsid w:val="000265A6"/>
    <w:rsid w:val="000265AB"/>
    <w:rsid w:val="00027261"/>
    <w:rsid w:val="0002766C"/>
    <w:rsid w:val="000276CD"/>
    <w:rsid w:val="00027758"/>
    <w:rsid w:val="0002798D"/>
    <w:rsid w:val="00030138"/>
    <w:rsid w:val="000308C4"/>
    <w:rsid w:val="000309D9"/>
    <w:rsid w:val="000311A2"/>
    <w:rsid w:val="0003122A"/>
    <w:rsid w:val="000313CB"/>
    <w:rsid w:val="00031804"/>
    <w:rsid w:val="00032101"/>
    <w:rsid w:val="00032C7B"/>
    <w:rsid w:val="00032F3A"/>
    <w:rsid w:val="000333C0"/>
    <w:rsid w:val="00033EDB"/>
    <w:rsid w:val="000340B0"/>
    <w:rsid w:val="000341D8"/>
    <w:rsid w:val="00034A69"/>
    <w:rsid w:val="00034ECD"/>
    <w:rsid w:val="00035947"/>
    <w:rsid w:val="00035F05"/>
    <w:rsid w:val="000360D1"/>
    <w:rsid w:val="00036425"/>
    <w:rsid w:val="000367F2"/>
    <w:rsid w:val="00036E90"/>
    <w:rsid w:val="00037153"/>
    <w:rsid w:val="0003723B"/>
    <w:rsid w:val="000376A4"/>
    <w:rsid w:val="00037C43"/>
    <w:rsid w:val="00037FA6"/>
    <w:rsid w:val="00040072"/>
    <w:rsid w:val="00040230"/>
    <w:rsid w:val="0004028C"/>
    <w:rsid w:val="000403C3"/>
    <w:rsid w:val="00040739"/>
    <w:rsid w:val="000409E3"/>
    <w:rsid w:val="00040AF2"/>
    <w:rsid w:val="00040BA4"/>
    <w:rsid w:val="000413A3"/>
    <w:rsid w:val="00041574"/>
    <w:rsid w:val="000417A5"/>
    <w:rsid w:val="000417FD"/>
    <w:rsid w:val="00041966"/>
    <w:rsid w:val="00041AE5"/>
    <w:rsid w:val="00041CE7"/>
    <w:rsid w:val="00041F4B"/>
    <w:rsid w:val="000425C4"/>
    <w:rsid w:val="00042668"/>
    <w:rsid w:val="0004290B"/>
    <w:rsid w:val="00042BD9"/>
    <w:rsid w:val="00042D57"/>
    <w:rsid w:val="00042DE7"/>
    <w:rsid w:val="0004313B"/>
    <w:rsid w:val="0004325F"/>
    <w:rsid w:val="000432AD"/>
    <w:rsid w:val="000433B9"/>
    <w:rsid w:val="0004359A"/>
    <w:rsid w:val="000436E4"/>
    <w:rsid w:val="00044521"/>
    <w:rsid w:val="00044A39"/>
    <w:rsid w:val="00044DCC"/>
    <w:rsid w:val="00045292"/>
    <w:rsid w:val="000452BB"/>
    <w:rsid w:val="000454F3"/>
    <w:rsid w:val="000455B8"/>
    <w:rsid w:val="00045789"/>
    <w:rsid w:val="00046A3B"/>
    <w:rsid w:val="00046EBF"/>
    <w:rsid w:val="00047525"/>
    <w:rsid w:val="000478F5"/>
    <w:rsid w:val="00047FEA"/>
    <w:rsid w:val="00050557"/>
    <w:rsid w:val="000505DF"/>
    <w:rsid w:val="00050AB8"/>
    <w:rsid w:val="00050E9B"/>
    <w:rsid w:val="00050EFE"/>
    <w:rsid w:val="0005125C"/>
    <w:rsid w:val="0005151C"/>
    <w:rsid w:val="00051B15"/>
    <w:rsid w:val="00051C9F"/>
    <w:rsid w:val="0005246B"/>
    <w:rsid w:val="00052B8D"/>
    <w:rsid w:val="00052EC4"/>
    <w:rsid w:val="0005321A"/>
    <w:rsid w:val="0005395D"/>
    <w:rsid w:val="00053A4B"/>
    <w:rsid w:val="00054694"/>
    <w:rsid w:val="00055DF8"/>
    <w:rsid w:val="00055F9A"/>
    <w:rsid w:val="00056C75"/>
    <w:rsid w:val="0005729D"/>
    <w:rsid w:val="000576FA"/>
    <w:rsid w:val="00057B5E"/>
    <w:rsid w:val="00057B63"/>
    <w:rsid w:val="00057ECE"/>
    <w:rsid w:val="0006032E"/>
    <w:rsid w:val="00060430"/>
    <w:rsid w:val="0006075A"/>
    <w:rsid w:val="00060B40"/>
    <w:rsid w:val="00060C17"/>
    <w:rsid w:val="00060E5D"/>
    <w:rsid w:val="00061095"/>
    <w:rsid w:val="00061133"/>
    <w:rsid w:val="000615B3"/>
    <w:rsid w:val="00061737"/>
    <w:rsid w:val="00061AB6"/>
    <w:rsid w:val="00063013"/>
    <w:rsid w:val="000631F5"/>
    <w:rsid w:val="00063223"/>
    <w:rsid w:val="00063C9E"/>
    <w:rsid w:val="00063D17"/>
    <w:rsid w:val="00063F8C"/>
    <w:rsid w:val="00064D80"/>
    <w:rsid w:val="000657CC"/>
    <w:rsid w:val="00065FFA"/>
    <w:rsid w:val="000660C7"/>
    <w:rsid w:val="00066158"/>
    <w:rsid w:val="000667C9"/>
    <w:rsid w:val="000667D3"/>
    <w:rsid w:val="0006682B"/>
    <w:rsid w:val="000668A0"/>
    <w:rsid w:val="00066A0A"/>
    <w:rsid w:val="00066CF6"/>
    <w:rsid w:val="000673ED"/>
    <w:rsid w:val="000674D7"/>
    <w:rsid w:val="00067F53"/>
    <w:rsid w:val="00070060"/>
    <w:rsid w:val="000703D7"/>
    <w:rsid w:val="00071226"/>
    <w:rsid w:val="0007151E"/>
    <w:rsid w:val="000719A0"/>
    <w:rsid w:val="00071E92"/>
    <w:rsid w:val="00071EE7"/>
    <w:rsid w:val="00071FBA"/>
    <w:rsid w:val="000725B4"/>
    <w:rsid w:val="00073516"/>
    <w:rsid w:val="00073563"/>
    <w:rsid w:val="0007363B"/>
    <w:rsid w:val="000738A6"/>
    <w:rsid w:val="0007394F"/>
    <w:rsid w:val="00074130"/>
    <w:rsid w:val="00074493"/>
    <w:rsid w:val="00074A3A"/>
    <w:rsid w:val="00074ED0"/>
    <w:rsid w:val="00074F44"/>
    <w:rsid w:val="00074F73"/>
    <w:rsid w:val="000751E3"/>
    <w:rsid w:val="00075C8C"/>
    <w:rsid w:val="000765CB"/>
    <w:rsid w:val="00077317"/>
    <w:rsid w:val="00077ACE"/>
    <w:rsid w:val="00080C8E"/>
    <w:rsid w:val="00080F17"/>
    <w:rsid w:val="000815BA"/>
    <w:rsid w:val="00082337"/>
    <w:rsid w:val="000823F0"/>
    <w:rsid w:val="000824C2"/>
    <w:rsid w:val="00082B49"/>
    <w:rsid w:val="00082F47"/>
    <w:rsid w:val="00083121"/>
    <w:rsid w:val="000835CB"/>
    <w:rsid w:val="00083908"/>
    <w:rsid w:val="00083967"/>
    <w:rsid w:val="00083AA9"/>
    <w:rsid w:val="00083BE6"/>
    <w:rsid w:val="00083E2E"/>
    <w:rsid w:val="000843C9"/>
    <w:rsid w:val="0008441A"/>
    <w:rsid w:val="0008487F"/>
    <w:rsid w:val="000848C0"/>
    <w:rsid w:val="00084E4A"/>
    <w:rsid w:val="000850DE"/>
    <w:rsid w:val="000855A6"/>
    <w:rsid w:val="00085889"/>
    <w:rsid w:val="00085A0A"/>
    <w:rsid w:val="00085E3A"/>
    <w:rsid w:val="000865A8"/>
    <w:rsid w:val="000865C6"/>
    <w:rsid w:val="00086873"/>
    <w:rsid w:val="00086AD4"/>
    <w:rsid w:val="0008723E"/>
    <w:rsid w:val="00090977"/>
    <w:rsid w:val="00090B94"/>
    <w:rsid w:val="00090D85"/>
    <w:rsid w:val="00090E1E"/>
    <w:rsid w:val="00090E59"/>
    <w:rsid w:val="00091220"/>
    <w:rsid w:val="0009169F"/>
    <w:rsid w:val="00091D18"/>
    <w:rsid w:val="00091D1B"/>
    <w:rsid w:val="00091FD7"/>
    <w:rsid w:val="00092656"/>
    <w:rsid w:val="0009273F"/>
    <w:rsid w:val="0009274A"/>
    <w:rsid w:val="00092973"/>
    <w:rsid w:val="00092BD2"/>
    <w:rsid w:val="00092CE2"/>
    <w:rsid w:val="0009382F"/>
    <w:rsid w:val="00093B4A"/>
    <w:rsid w:val="00093BAA"/>
    <w:rsid w:val="00094318"/>
    <w:rsid w:val="000946F6"/>
    <w:rsid w:val="000947B0"/>
    <w:rsid w:val="000952F6"/>
    <w:rsid w:val="0009544A"/>
    <w:rsid w:val="00095459"/>
    <w:rsid w:val="000956A9"/>
    <w:rsid w:val="00096686"/>
    <w:rsid w:val="00096A91"/>
    <w:rsid w:val="00096D8F"/>
    <w:rsid w:val="00097521"/>
    <w:rsid w:val="00097BB4"/>
    <w:rsid w:val="000A003C"/>
    <w:rsid w:val="000A113A"/>
    <w:rsid w:val="000A197E"/>
    <w:rsid w:val="000A2139"/>
    <w:rsid w:val="000A25B3"/>
    <w:rsid w:val="000A2656"/>
    <w:rsid w:val="000A3109"/>
    <w:rsid w:val="000A384B"/>
    <w:rsid w:val="000A39C2"/>
    <w:rsid w:val="000A4125"/>
    <w:rsid w:val="000A42F9"/>
    <w:rsid w:val="000A5114"/>
    <w:rsid w:val="000A5BED"/>
    <w:rsid w:val="000A5D7D"/>
    <w:rsid w:val="000A6244"/>
    <w:rsid w:val="000A669F"/>
    <w:rsid w:val="000A684E"/>
    <w:rsid w:val="000A69D8"/>
    <w:rsid w:val="000A6BD3"/>
    <w:rsid w:val="000A75F5"/>
    <w:rsid w:val="000A7651"/>
    <w:rsid w:val="000A78D9"/>
    <w:rsid w:val="000A7B4D"/>
    <w:rsid w:val="000A7EAA"/>
    <w:rsid w:val="000B07D7"/>
    <w:rsid w:val="000B0942"/>
    <w:rsid w:val="000B0959"/>
    <w:rsid w:val="000B0C68"/>
    <w:rsid w:val="000B1104"/>
    <w:rsid w:val="000B18D2"/>
    <w:rsid w:val="000B1936"/>
    <w:rsid w:val="000B2211"/>
    <w:rsid w:val="000B26DB"/>
    <w:rsid w:val="000B2D42"/>
    <w:rsid w:val="000B2E63"/>
    <w:rsid w:val="000B3379"/>
    <w:rsid w:val="000B365A"/>
    <w:rsid w:val="000B3780"/>
    <w:rsid w:val="000B3A5B"/>
    <w:rsid w:val="000B4466"/>
    <w:rsid w:val="000B4BB0"/>
    <w:rsid w:val="000B5567"/>
    <w:rsid w:val="000B5762"/>
    <w:rsid w:val="000B5792"/>
    <w:rsid w:val="000B5933"/>
    <w:rsid w:val="000B62F9"/>
    <w:rsid w:val="000B63D8"/>
    <w:rsid w:val="000B685F"/>
    <w:rsid w:val="000B69A1"/>
    <w:rsid w:val="000B6BA7"/>
    <w:rsid w:val="000B7567"/>
    <w:rsid w:val="000B7A03"/>
    <w:rsid w:val="000B7D13"/>
    <w:rsid w:val="000B7E50"/>
    <w:rsid w:val="000C0124"/>
    <w:rsid w:val="000C027E"/>
    <w:rsid w:val="000C031B"/>
    <w:rsid w:val="000C0438"/>
    <w:rsid w:val="000C107D"/>
    <w:rsid w:val="000C1253"/>
    <w:rsid w:val="000C1918"/>
    <w:rsid w:val="000C1AC0"/>
    <w:rsid w:val="000C1BC6"/>
    <w:rsid w:val="000C2203"/>
    <w:rsid w:val="000C23F7"/>
    <w:rsid w:val="000C2C12"/>
    <w:rsid w:val="000C2C97"/>
    <w:rsid w:val="000C309D"/>
    <w:rsid w:val="000C3289"/>
    <w:rsid w:val="000C3582"/>
    <w:rsid w:val="000C431B"/>
    <w:rsid w:val="000C4C2F"/>
    <w:rsid w:val="000C4C9D"/>
    <w:rsid w:val="000C5561"/>
    <w:rsid w:val="000C5607"/>
    <w:rsid w:val="000C5962"/>
    <w:rsid w:val="000C5E7E"/>
    <w:rsid w:val="000C61AC"/>
    <w:rsid w:val="000C62BA"/>
    <w:rsid w:val="000C67D1"/>
    <w:rsid w:val="000C68A2"/>
    <w:rsid w:val="000C6936"/>
    <w:rsid w:val="000C6BED"/>
    <w:rsid w:val="000C6D2B"/>
    <w:rsid w:val="000C7293"/>
    <w:rsid w:val="000C72A7"/>
    <w:rsid w:val="000C759F"/>
    <w:rsid w:val="000C7C23"/>
    <w:rsid w:val="000D01F3"/>
    <w:rsid w:val="000D0272"/>
    <w:rsid w:val="000D0BF9"/>
    <w:rsid w:val="000D0C0C"/>
    <w:rsid w:val="000D0C36"/>
    <w:rsid w:val="000D0C4E"/>
    <w:rsid w:val="000D0CF3"/>
    <w:rsid w:val="000D0EAE"/>
    <w:rsid w:val="000D14F4"/>
    <w:rsid w:val="000D1598"/>
    <w:rsid w:val="000D2050"/>
    <w:rsid w:val="000D2082"/>
    <w:rsid w:val="000D255C"/>
    <w:rsid w:val="000D282F"/>
    <w:rsid w:val="000D2B7A"/>
    <w:rsid w:val="000D2B7B"/>
    <w:rsid w:val="000D2E1A"/>
    <w:rsid w:val="000D323D"/>
    <w:rsid w:val="000D32E8"/>
    <w:rsid w:val="000D3E2C"/>
    <w:rsid w:val="000D3E62"/>
    <w:rsid w:val="000D4C13"/>
    <w:rsid w:val="000D528D"/>
    <w:rsid w:val="000D52C0"/>
    <w:rsid w:val="000D5435"/>
    <w:rsid w:val="000D5C45"/>
    <w:rsid w:val="000D648C"/>
    <w:rsid w:val="000D65DD"/>
    <w:rsid w:val="000D6E68"/>
    <w:rsid w:val="000D70C4"/>
    <w:rsid w:val="000D76B1"/>
    <w:rsid w:val="000D7D43"/>
    <w:rsid w:val="000E0035"/>
    <w:rsid w:val="000E07A3"/>
    <w:rsid w:val="000E0D96"/>
    <w:rsid w:val="000E11A7"/>
    <w:rsid w:val="000E1473"/>
    <w:rsid w:val="000E1B1B"/>
    <w:rsid w:val="000E2284"/>
    <w:rsid w:val="000E22E9"/>
    <w:rsid w:val="000E230A"/>
    <w:rsid w:val="000E26B8"/>
    <w:rsid w:val="000E27BE"/>
    <w:rsid w:val="000E28BE"/>
    <w:rsid w:val="000E3C28"/>
    <w:rsid w:val="000E46AE"/>
    <w:rsid w:val="000E49A7"/>
    <w:rsid w:val="000E4DF2"/>
    <w:rsid w:val="000E5534"/>
    <w:rsid w:val="000E5687"/>
    <w:rsid w:val="000E5C91"/>
    <w:rsid w:val="000E60EA"/>
    <w:rsid w:val="000E615D"/>
    <w:rsid w:val="000E6299"/>
    <w:rsid w:val="000E6579"/>
    <w:rsid w:val="000E6675"/>
    <w:rsid w:val="000E69AA"/>
    <w:rsid w:val="000E70F7"/>
    <w:rsid w:val="000E76A7"/>
    <w:rsid w:val="000E7883"/>
    <w:rsid w:val="000F0003"/>
    <w:rsid w:val="000F01C0"/>
    <w:rsid w:val="000F0539"/>
    <w:rsid w:val="000F0D13"/>
    <w:rsid w:val="000F0D45"/>
    <w:rsid w:val="000F0D77"/>
    <w:rsid w:val="000F117D"/>
    <w:rsid w:val="000F137B"/>
    <w:rsid w:val="000F1E02"/>
    <w:rsid w:val="000F1EEE"/>
    <w:rsid w:val="000F2D59"/>
    <w:rsid w:val="000F2F42"/>
    <w:rsid w:val="000F3256"/>
    <w:rsid w:val="000F3559"/>
    <w:rsid w:val="000F3CA7"/>
    <w:rsid w:val="000F4686"/>
    <w:rsid w:val="000F4855"/>
    <w:rsid w:val="000F48B8"/>
    <w:rsid w:val="000F4DFD"/>
    <w:rsid w:val="000F4E1A"/>
    <w:rsid w:val="000F550F"/>
    <w:rsid w:val="000F567D"/>
    <w:rsid w:val="000F7DAB"/>
    <w:rsid w:val="000F7F72"/>
    <w:rsid w:val="001004D4"/>
    <w:rsid w:val="001006EE"/>
    <w:rsid w:val="001007D4"/>
    <w:rsid w:val="0010082F"/>
    <w:rsid w:val="00100A1D"/>
    <w:rsid w:val="00100B81"/>
    <w:rsid w:val="00100E43"/>
    <w:rsid w:val="0010113D"/>
    <w:rsid w:val="001013A4"/>
    <w:rsid w:val="001013C9"/>
    <w:rsid w:val="001025FD"/>
    <w:rsid w:val="00102E2C"/>
    <w:rsid w:val="00102F58"/>
    <w:rsid w:val="00103B86"/>
    <w:rsid w:val="00103C83"/>
    <w:rsid w:val="00103E09"/>
    <w:rsid w:val="00103ED6"/>
    <w:rsid w:val="00104A6D"/>
    <w:rsid w:val="00104B0F"/>
    <w:rsid w:val="00104B38"/>
    <w:rsid w:val="00104F3E"/>
    <w:rsid w:val="00105408"/>
    <w:rsid w:val="00105463"/>
    <w:rsid w:val="001055CD"/>
    <w:rsid w:val="001058CE"/>
    <w:rsid w:val="00105B40"/>
    <w:rsid w:val="00105C9D"/>
    <w:rsid w:val="00105D52"/>
    <w:rsid w:val="0010629C"/>
    <w:rsid w:val="0010630F"/>
    <w:rsid w:val="0010665A"/>
    <w:rsid w:val="0010798C"/>
    <w:rsid w:val="001101B8"/>
    <w:rsid w:val="00110244"/>
    <w:rsid w:val="00110408"/>
    <w:rsid w:val="00110469"/>
    <w:rsid w:val="00110970"/>
    <w:rsid w:val="001109F3"/>
    <w:rsid w:val="00110D5D"/>
    <w:rsid w:val="00110E84"/>
    <w:rsid w:val="0011115C"/>
    <w:rsid w:val="00111ECE"/>
    <w:rsid w:val="00112A81"/>
    <w:rsid w:val="00112AD7"/>
    <w:rsid w:val="00113139"/>
    <w:rsid w:val="00113296"/>
    <w:rsid w:val="001135B6"/>
    <w:rsid w:val="00113AE5"/>
    <w:rsid w:val="001140AD"/>
    <w:rsid w:val="00114B95"/>
    <w:rsid w:val="00114ED3"/>
    <w:rsid w:val="00115635"/>
    <w:rsid w:val="0011592A"/>
    <w:rsid w:val="00115B65"/>
    <w:rsid w:val="00115C4F"/>
    <w:rsid w:val="00115FD6"/>
    <w:rsid w:val="0011622D"/>
    <w:rsid w:val="0011650D"/>
    <w:rsid w:val="001169DC"/>
    <w:rsid w:val="0011731A"/>
    <w:rsid w:val="001177A8"/>
    <w:rsid w:val="00120288"/>
    <w:rsid w:val="001203FA"/>
    <w:rsid w:val="001204F2"/>
    <w:rsid w:val="001206DF"/>
    <w:rsid w:val="001207F1"/>
    <w:rsid w:val="0012080B"/>
    <w:rsid w:val="00120F25"/>
    <w:rsid w:val="001212C6"/>
    <w:rsid w:val="00121744"/>
    <w:rsid w:val="00121756"/>
    <w:rsid w:val="0012285E"/>
    <w:rsid w:val="00122CB3"/>
    <w:rsid w:val="00122F90"/>
    <w:rsid w:val="00123593"/>
    <w:rsid w:val="00123AE2"/>
    <w:rsid w:val="00123CDE"/>
    <w:rsid w:val="00124D57"/>
    <w:rsid w:val="00125306"/>
    <w:rsid w:val="001257B9"/>
    <w:rsid w:val="00125E7B"/>
    <w:rsid w:val="00125FF8"/>
    <w:rsid w:val="001261C8"/>
    <w:rsid w:val="00126252"/>
    <w:rsid w:val="001262FC"/>
    <w:rsid w:val="00126424"/>
    <w:rsid w:val="0012658B"/>
    <w:rsid w:val="00126C31"/>
    <w:rsid w:val="00127460"/>
    <w:rsid w:val="001278CA"/>
    <w:rsid w:val="00127BD3"/>
    <w:rsid w:val="00127EFE"/>
    <w:rsid w:val="0013006B"/>
    <w:rsid w:val="00131127"/>
    <w:rsid w:val="00131201"/>
    <w:rsid w:val="00131455"/>
    <w:rsid w:val="0013153A"/>
    <w:rsid w:val="00131769"/>
    <w:rsid w:val="001318D6"/>
    <w:rsid w:val="00131EFE"/>
    <w:rsid w:val="00131FFE"/>
    <w:rsid w:val="00132508"/>
    <w:rsid w:val="00132708"/>
    <w:rsid w:val="001328D3"/>
    <w:rsid w:val="0013322C"/>
    <w:rsid w:val="00134023"/>
    <w:rsid w:val="001340A4"/>
    <w:rsid w:val="001342F8"/>
    <w:rsid w:val="0013437B"/>
    <w:rsid w:val="001348E6"/>
    <w:rsid w:val="00134F51"/>
    <w:rsid w:val="00135666"/>
    <w:rsid w:val="001359CD"/>
    <w:rsid w:val="00136395"/>
    <w:rsid w:val="00136BE0"/>
    <w:rsid w:val="00136CE1"/>
    <w:rsid w:val="00137173"/>
    <w:rsid w:val="00137C06"/>
    <w:rsid w:val="00137F75"/>
    <w:rsid w:val="001404A6"/>
    <w:rsid w:val="001405C8"/>
    <w:rsid w:val="001405D8"/>
    <w:rsid w:val="001408CE"/>
    <w:rsid w:val="00141430"/>
    <w:rsid w:val="0014182C"/>
    <w:rsid w:val="00142258"/>
    <w:rsid w:val="001425EB"/>
    <w:rsid w:val="001428E0"/>
    <w:rsid w:val="00142EB3"/>
    <w:rsid w:val="001433A7"/>
    <w:rsid w:val="001437A8"/>
    <w:rsid w:val="00143A12"/>
    <w:rsid w:val="001440E1"/>
    <w:rsid w:val="0014418B"/>
    <w:rsid w:val="001442C2"/>
    <w:rsid w:val="0014454A"/>
    <w:rsid w:val="001446A2"/>
    <w:rsid w:val="00144B71"/>
    <w:rsid w:val="00144CB2"/>
    <w:rsid w:val="001460A5"/>
    <w:rsid w:val="00146C5B"/>
    <w:rsid w:val="00146FDD"/>
    <w:rsid w:val="0014729D"/>
    <w:rsid w:val="00147315"/>
    <w:rsid w:val="001477AE"/>
    <w:rsid w:val="0015016B"/>
    <w:rsid w:val="00150FD7"/>
    <w:rsid w:val="00151585"/>
    <w:rsid w:val="00151A0E"/>
    <w:rsid w:val="001522DE"/>
    <w:rsid w:val="00152832"/>
    <w:rsid w:val="00152870"/>
    <w:rsid w:val="0015313A"/>
    <w:rsid w:val="00153473"/>
    <w:rsid w:val="00153581"/>
    <w:rsid w:val="00153584"/>
    <w:rsid w:val="001538A5"/>
    <w:rsid w:val="0015396C"/>
    <w:rsid w:val="00154DE3"/>
    <w:rsid w:val="001550FA"/>
    <w:rsid w:val="00155212"/>
    <w:rsid w:val="001559EF"/>
    <w:rsid w:val="00155EAE"/>
    <w:rsid w:val="00155F29"/>
    <w:rsid w:val="00156434"/>
    <w:rsid w:val="00156E23"/>
    <w:rsid w:val="00156F23"/>
    <w:rsid w:val="00156FB1"/>
    <w:rsid w:val="00157A40"/>
    <w:rsid w:val="00157E37"/>
    <w:rsid w:val="00160174"/>
    <w:rsid w:val="001602D6"/>
    <w:rsid w:val="0016093E"/>
    <w:rsid w:val="00161047"/>
    <w:rsid w:val="00161810"/>
    <w:rsid w:val="00161BBC"/>
    <w:rsid w:val="00161CE8"/>
    <w:rsid w:val="00162838"/>
    <w:rsid w:val="00162858"/>
    <w:rsid w:val="0016364E"/>
    <w:rsid w:val="0016390C"/>
    <w:rsid w:val="00163C5C"/>
    <w:rsid w:val="00163CD6"/>
    <w:rsid w:val="0016427C"/>
    <w:rsid w:val="0016434C"/>
    <w:rsid w:val="0016560F"/>
    <w:rsid w:val="00165849"/>
    <w:rsid w:val="001658BC"/>
    <w:rsid w:val="001659A5"/>
    <w:rsid w:val="00166500"/>
    <w:rsid w:val="001666BA"/>
    <w:rsid w:val="00166823"/>
    <w:rsid w:val="0016686B"/>
    <w:rsid w:val="00166CE8"/>
    <w:rsid w:val="00167197"/>
    <w:rsid w:val="00167A9A"/>
    <w:rsid w:val="00170067"/>
    <w:rsid w:val="00170EE0"/>
    <w:rsid w:val="00170FC2"/>
    <w:rsid w:val="00171146"/>
    <w:rsid w:val="0017158C"/>
    <w:rsid w:val="00171733"/>
    <w:rsid w:val="00171DAC"/>
    <w:rsid w:val="00172057"/>
    <w:rsid w:val="001726F5"/>
    <w:rsid w:val="00172CB6"/>
    <w:rsid w:val="00172D36"/>
    <w:rsid w:val="00173058"/>
    <w:rsid w:val="001731D2"/>
    <w:rsid w:val="001732B8"/>
    <w:rsid w:val="00173CBF"/>
    <w:rsid w:val="00173D56"/>
    <w:rsid w:val="00174035"/>
    <w:rsid w:val="001741A9"/>
    <w:rsid w:val="00174324"/>
    <w:rsid w:val="0017478C"/>
    <w:rsid w:val="00174C96"/>
    <w:rsid w:val="00174F4C"/>
    <w:rsid w:val="00175284"/>
    <w:rsid w:val="00175326"/>
    <w:rsid w:val="00175379"/>
    <w:rsid w:val="001756CB"/>
    <w:rsid w:val="00175C16"/>
    <w:rsid w:val="001766E6"/>
    <w:rsid w:val="00176791"/>
    <w:rsid w:val="001769CB"/>
    <w:rsid w:val="00177A3B"/>
    <w:rsid w:val="0018007A"/>
    <w:rsid w:val="001802A4"/>
    <w:rsid w:val="001803FB"/>
    <w:rsid w:val="001816BD"/>
    <w:rsid w:val="001817FB"/>
    <w:rsid w:val="00181A27"/>
    <w:rsid w:val="00181AF4"/>
    <w:rsid w:val="00182116"/>
    <w:rsid w:val="001825D2"/>
    <w:rsid w:val="00182642"/>
    <w:rsid w:val="00182B25"/>
    <w:rsid w:val="00182EDC"/>
    <w:rsid w:val="001831DE"/>
    <w:rsid w:val="00183234"/>
    <w:rsid w:val="001836EC"/>
    <w:rsid w:val="00183BDE"/>
    <w:rsid w:val="0018427E"/>
    <w:rsid w:val="0018455D"/>
    <w:rsid w:val="00184BF3"/>
    <w:rsid w:val="00184E54"/>
    <w:rsid w:val="00184FE9"/>
    <w:rsid w:val="001852DB"/>
    <w:rsid w:val="0018584A"/>
    <w:rsid w:val="001859E6"/>
    <w:rsid w:val="00185D50"/>
    <w:rsid w:val="00186467"/>
    <w:rsid w:val="00186D70"/>
    <w:rsid w:val="00187203"/>
    <w:rsid w:val="00187220"/>
    <w:rsid w:val="00187456"/>
    <w:rsid w:val="001874B9"/>
    <w:rsid w:val="0018765D"/>
    <w:rsid w:val="00187C6B"/>
    <w:rsid w:val="00187DDA"/>
    <w:rsid w:val="00190929"/>
    <w:rsid w:val="0019095B"/>
    <w:rsid w:val="00190CDD"/>
    <w:rsid w:val="00190EA3"/>
    <w:rsid w:val="00190F46"/>
    <w:rsid w:val="00191111"/>
    <w:rsid w:val="001912B7"/>
    <w:rsid w:val="001914FD"/>
    <w:rsid w:val="001915CD"/>
    <w:rsid w:val="001915E3"/>
    <w:rsid w:val="001933F0"/>
    <w:rsid w:val="001936CC"/>
    <w:rsid w:val="00193912"/>
    <w:rsid w:val="001939D4"/>
    <w:rsid w:val="00193BE3"/>
    <w:rsid w:val="00193D2A"/>
    <w:rsid w:val="00193EEC"/>
    <w:rsid w:val="00194DC5"/>
    <w:rsid w:val="00194F59"/>
    <w:rsid w:val="0019512E"/>
    <w:rsid w:val="001958AB"/>
    <w:rsid w:val="00195DB5"/>
    <w:rsid w:val="001960B7"/>
    <w:rsid w:val="00196598"/>
    <w:rsid w:val="001968F1"/>
    <w:rsid w:val="00196E43"/>
    <w:rsid w:val="00196E58"/>
    <w:rsid w:val="001971DC"/>
    <w:rsid w:val="00197532"/>
    <w:rsid w:val="00197B37"/>
    <w:rsid w:val="00197CF7"/>
    <w:rsid w:val="00197FC5"/>
    <w:rsid w:val="001A0172"/>
    <w:rsid w:val="001A01AD"/>
    <w:rsid w:val="001A024D"/>
    <w:rsid w:val="001A0518"/>
    <w:rsid w:val="001A05FE"/>
    <w:rsid w:val="001A06BE"/>
    <w:rsid w:val="001A09D8"/>
    <w:rsid w:val="001A0C79"/>
    <w:rsid w:val="001A10BA"/>
    <w:rsid w:val="001A11A8"/>
    <w:rsid w:val="001A1999"/>
    <w:rsid w:val="001A1EA8"/>
    <w:rsid w:val="001A23E9"/>
    <w:rsid w:val="001A2665"/>
    <w:rsid w:val="001A33AE"/>
    <w:rsid w:val="001A3DED"/>
    <w:rsid w:val="001A3E3B"/>
    <w:rsid w:val="001A3F6D"/>
    <w:rsid w:val="001A43A7"/>
    <w:rsid w:val="001A4626"/>
    <w:rsid w:val="001A47B6"/>
    <w:rsid w:val="001A4828"/>
    <w:rsid w:val="001A4F5A"/>
    <w:rsid w:val="001A4F8A"/>
    <w:rsid w:val="001A548F"/>
    <w:rsid w:val="001A6284"/>
    <w:rsid w:val="001A681D"/>
    <w:rsid w:val="001A6B01"/>
    <w:rsid w:val="001A6EC4"/>
    <w:rsid w:val="001A7162"/>
    <w:rsid w:val="001A7EDD"/>
    <w:rsid w:val="001B069C"/>
    <w:rsid w:val="001B0742"/>
    <w:rsid w:val="001B07BA"/>
    <w:rsid w:val="001B0874"/>
    <w:rsid w:val="001B08E1"/>
    <w:rsid w:val="001B095F"/>
    <w:rsid w:val="001B09AE"/>
    <w:rsid w:val="001B09FA"/>
    <w:rsid w:val="001B1882"/>
    <w:rsid w:val="001B1AE5"/>
    <w:rsid w:val="001B2370"/>
    <w:rsid w:val="001B2AEC"/>
    <w:rsid w:val="001B2DA0"/>
    <w:rsid w:val="001B2DBD"/>
    <w:rsid w:val="001B2E81"/>
    <w:rsid w:val="001B38EA"/>
    <w:rsid w:val="001B3BC6"/>
    <w:rsid w:val="001B3F4F"/>
    <w:rsid w:val="001B41E5"/>
    <w:rsid w:val="001B428F"/>
    <w:rsid w:val="001B5714"/>
    <w:rsid w:val="001B5A8B"/>
    <w:rsid w:val="001B5AFA"/>
    <w:rsid w:val="001B5F44"/>
    <w:rsid w:val="001B616A"/>
    <w:rsid w:val="001B63D8"/>
    <w:rsid w:val="001B6D1D"/>
    <w:rsid w:val="001B738B"/>
    <w:rsid w:val="001B78F3"/>
    <w:rsid w:val="001B7CA5"/>
    <w:rsid w:val="001B7D9B"/>
    <w:rsid w:val="001C1F3E"/>
    <w:rsid w:val="001C236F"/>
    <w:rsid w:val="001C2A06"/>
    <w:rsid w:val="001C2A2D"/>
    <w:rsid w:val="001C2B24"/>
    <w:rsid w:val="001C38E2"/>
    <w:rsid w:val="001C399D"/>
    <w:rsid w:val="001C3BD3"/>
    <w:rsid w:val="001C3CB5"/>
    <w:rsid w:val="001C3F89"/>
    <w:rsid w:val="001C47AF"/>
    <w:rsid w:val="001C485F"/>
    <w:rsid w:val="001C50FA"/>
    <w:rsid w:val="001C5321"/>
    <w:rsid w:val="001C53A1"/>
    <w:rsid w:val="001C64EF"/>
    <w:rsid w:val="001C66B7"/>
    <w:rsid w:val="001C6709"/>
    <w:rsid w:val="001C6EFE"/>
    <w:rsid w:val="001C7059"/>
    <w:rsid w:val="001C784D"/>
    <w:rsid w:val="001C7851"/>
    <w:rsid w:val="001C7B70"/>
    <w:rsid w:val="001D00C1"/>
    <w:rsid w:val="001D043B"/>
    <w:rsid w:val="001D0649"/>
    <w:rsid w:val="001D1E9A"/>
    <w:rsid w:val="001D2537"/>
    <w:rsid w:val="001D2834"/>
    <w:rsid w:val="001D32F7"/>
    <w:rsid w:val="001D33C2"/>
    <w:rsid w:val="001D3A1A"/>
    <w:rsid w:val="001D3C3E"/>
    <w:rsid w:val="001D3F7F"/>
    <w:rsid w:val="001D4146"/>
    <w:rsid w:val="001D4440"/>
    <w:rsid w:val="001D45E7"/>
    <w:rsid w:val="001D46E0"/>
    <w:rsid w:val="001D487C"/>
    <w:rsid w:val="001D4997"/>
    <w:rsid w:val="001D5296"/>
    <w:rsid w:val="001D566B"/>
    <w:rsid w:val="001D5B36"/>
    <w:rsid w:val="001D5D38"/>
    <w:rsid w:val="001D5E5F"/>
    <w:rsid w:val="001D662A"/>
    <w:rsid w:val="001D6A27"/>
    <w:rsid w:val="001D6A28"/>
    <w:rsid w:val="001D6DD7"/>
    <w:rsid w:val="001D73E5"/>
    <w:rsid w:val="001E07DB"/>
    <w:rsid w:val="001E1078"/>
    <w:rsid w:val="001E1148"/>
    <w:rsid w:val="001E152D"/>
    <w:rsid w:val="001E1A3F"/>
    <w:rsid w:val="001E1D20"/>
    <w:rsid w:val="001E22EA"/>
    <w:rsid w:val="001E2C76"/>
    <w:rsid w:val="001E3155"/>
    <w:rsid w:val="001E3988"/>
    <w:rsid w:val="001E42A2"/>
    <w:rsid w:val="001E44A7"/>
    <w:rsid w:val="001E5196"/>
    <w:rsid w:val="001E5559"/>
    <w:rsid w:val="001E5A2F"/>
    <w:rsid w:val="001E5BBA"/>
    <w:rsid w:val="001E603D"/>
    <w:rsid w:val="001E6301"/>
    <w:rsid w:val="001E6B32"/>
    <w:rsid w:val="001E6B71"/>
    <w:rsid w:val="001E6E10"/>
    <w:rsid w:val="001E6F7E"/>
    <w:rsid w:val="001E7280"/>
    <w:rsid w:val="001E7C4E"/>
    <w:rsid w:val="001E7F8D"/>
    <w:rsid w:val="001E7FE0"/>
    <w:rsid w:val="001F013D"/>
    <w:rsid w:val="001F0633"/>
    <w:rsid w:val="001F12E1"/>
    <w:rsid w:val="001F1501"/>
    <w:rsid w:val="001F192B"/>
    <w:rsid w:val="001F21F3"/>
    <w:rsid w:val="001F2607"/>
    <w:rsid w:val="001F262C"/>
    <w:rsid w:val="001F35DE"/>
    <w:rsid w:val="001F3FE7"/>
    <w:rsid w:val="001F4FD5"/>
    <w:rsid w:val="001F508A"/>
    <w:rsid w:val="001F55BD"/>
    <w:rsid w:val="001F5607"/>
    <w:rsid w:val="001F60DB"/>
    <w:rsid w:val="001F617C"/>
    <w:rsid w:val="001F6A47"/>
    <w:rsid w:val="001F6DF5"/>
    <w:rsid w:val="001F7D10"/>
    <w:rsid w:val="00200268"/>
    <w:rsid w:val="00200543"/>
    <w:rsid w:val="00200D2B"/>
    <w:rsid w:val="00200E01"/>
    <w:rsid w:val="00201305"/>
    <w:rsid w:val="00201FB0"/>
    <w:rsid w:val="00203048"/>
    <w:rsid w:val="00204F0D"/>
    <w:rsid w:val="0020507F"/>
    <w:rsid w:val="00205220"/>
    <w:rsid w:val="0020574F"/>
    <w:rsid w:val="00205772"/>
    <w:rsid w:val="0020582F"/>
    <w:rsid w:val="00205C2A"/>
    <w:rsid w:val="00205DB7"/>
    <w:rsid w:val="00205F07"/>
    <w:rsid w:val="00206988"/>
    <w:rsid w:val="00206CF3"/>
    <w:rsid w:val="0020745A"/>
    <w:rsid w:val="0020796D"/>
    <w:rsid w:val="00207B9D"/>
    <w:rsid w:val="00210260"/>
    <w:rsid w:val="00210B47"/>
    <w:rsid w:val="00210FB1"/>
    <w:rsid w:val="00211133"/>
    <w:rsid w:val="00211306"/>
    <w:rsid w:val="00211724"/>
    <w:rsid w:val="00211AE0"/>
    <w:rsid w:val="00211D70"/>
    <w:rsid w:val="00212710"/>
    <w:rsid w:val="00212918"/>
    <w:rsid w:val="00212986"/>
    <w:rsid w:val="002137CF"/>
    <w:rsid w:val="002138AD"/>
    <w:rsid w:val="00213B57"/>
    <w:rsid w:val="002147A8"/>
    <w:rsid w:val="00214CEF"/>
    <w:rsid w:val="002155B5"/>
    <w:rsid w:val="00215620"/>
    <w:rsid w:val="00215936"/>
    <w:rsid w:val="00215AE4"/>
    <w:rsid w:val="00216993"/>
    <w:rsid w:val="00216AE5"/>
    <w:rsid w:val="00216B02"/>
    <w:rsid w:val="00216C9C"/>
    <w:rsid w:val="00216F71"/>
    <w:rsid w:val="00217032"/>
    <w:rsid w:val="00217291"/>
    <w:rsid w:val="002178D6"/>
    <w:rsid w:val="00217B3A"/>
    <w:rsid w:val="00220378"/>
    <w:rsid w:val="002203BD"/>
    <w:rsid w:val="0022155B"/>
    <w:rsid w:val="00221CB5"/>
    <w:rsid w:val="00221EB3"/>
    <w:rsid w:val="00221FBF"/>
    <w:rsid w:val="00222FF4"/>
    <w:rsid w:val="0022306E"/>
    <w:rsid w:val="00223B0E"/>
    <w:rsid w:val="00224133"/>
    <w:rsid w:val="00224156"/>
    <w:rsid w:val="002246BE"/>
    <w:rsid w:val="00224EFC"/>
    <w:rsid w:val="0022511E"/>
    <w:rsid w:val="00225628"/>
    <w:rsid w:val="0022564B"/>
    <w:rsid w:val="002257E0"/>
    <w:rsid w:val="002260C5"/>
    <w:rsid w:val="002265F2"/>
    <w:rsid w:val="00226CD4"/>
    <w:rsid w:val="00226E6E"/>
    <w:rsid w:val="00227015"/>
    <w:rsid w:val="002272AB"/>
    <w:rsid w:val="002279D2"/>
    <w:rsid w:val="0023048A"/>
    <w:rsid w:val="00230831"/>
    <w:rsid w:val="00230A5F"/>
    <w:rsid w:val="00230AAC"/>
    <w:rsid w:val="00230C3B"/>
    <w:rsid w:val="00230F04"/>
    <w:rsid w:val="00230FF2"/>
    <w:rsid w:val="00231567"/>
    <w:rsid w:val="00231BB1"/>
    <w:rsid w:val="00231FCE"/>
    <w:rsid w:val="002329D4"/>
    <w:rsid w:val="00233201"/>
    <w:rsid w:val="0023377A"/>
    <w:rsid w:val="00233985"/>
    <w:rsid w:val="002342E5"/>
    <w:rsid w:val="00234591"/>
    <w:rsid w:val="00234DFB"/>
    <w:rsid w:val="0023552F"/>
    <w:rsid w:val="002363FB"/>
    <w:rsid w:val="00236966"/>
    <w:rsid w:val="00236B16"/>
    <w:rsid w:val="00236BE5"/>
    <w:rsid w:val="00236CA0"/>
    <w:rsid w:val="00236CF7"/>
    <w:rsid w:val="002376C9"/>
    <w:rsid w:val="00237B97"/>
    <w:rsid w:val="00237FB6"/>
    <w:rsid w:val="00240357"/>
    <w:rsid w:val="00240584"/>
    <w:rsid w:val="0024083A"/>
    <w:rsid w:val="00240912"/>
    <w:rsid w:val="00240DF1"/>
    <w:rsid w:val="00240DFC"/>
    <w:rsid w:val="00240EB8"/>
    <w:rsid w:val="00241144"/>
    <w:rsid w:val="00241342"/>
    <w:rsid w:val="002417E1"/>
    <w:rsid w:val="00241894"/>
    <w:rsid w:val="00241BF8"/>
    <w:rsid w:val="002426AF"/>
    <w:rsid w:val="00242C90"/>
    <w:rsid w:val="00242E31"/>
    <w:rsid w:val="00242ED1"/>
    <w:rsid w:val="002430CA"/>
    <w:rsid w:val="00243483"/>
    <w:rsid w:val="002437B7"/>
    <w:rsid w:val="002437ED"/>
    <w:rsid w:val="00243A17"/>
    <w:rsid w:val="00243C0A"/>
    <w:rsid w:val="00243DB6"/>
    <w:rsid w:val="002442C7"/>
    <w:rsid w:val="0024435A"/>
    <w:rsid w:val="002448BE"/>
    <w:rsid w:val="00244937"/>
    <w:rsid w:val="00245527"/>
    <w:rsid w:val="00245B57"/>
    <w:rsid w:val="00245C52"/>
    <w:rsid w:val="00245DA4"/>
    <w:rsid w:val="00245EC1"/>
    <w:rsid w:val="0024617B"/>
    <w:rsid w:val="002467FB"/>
    <w:rsid w:val="00247252"/>
    <w:rsid w:val="002477C9"/>
    <w:rsid w:val="00247961"/>
    <w:rsid w:val="00247E6E"/>
    <w:rsid w:val="00247EC1"/>
    <w:rsid w:val="002500B5"/>
    <w:rsid w:val="00250274"/>
    <w:rsid w:val="002502C6"/>
    <w:rsid w:val="002509C1"/>
    <w:rsid w:val="002510E8"/>
    <w:rsid w:val="002516FE"/>
    <w:rsid w:val="00252AC3"/>
    <w:rsid w:val="00252B26"/>
    <w:rsid w:val="00252E2D"/>
    <w:rsid w:val="002539DC"/>
    <w:rsid w:val="00253A2D"/>
    <w:rsid w:val="00253C37"/>
    <w:rsid w:val="00253E20"/>
    <w:rsid w:val="00254090"/>
    <w:rsid w:val="0025421E"/>
    <w:rsid w:val="0025489E"/>
    <w:rsid w:val="00254B1C"/>
    <w:rsid w:val="00254E60"/>
    <w:rsid w:val="00254FAB"/>
    <w:rsid w:val="00255047"/>
    <w:rsid w:val="0025522D"/>
    <w:rsid w:val="00255680"/>
    <w:rsid w:val="0025573A"/>
    <w:rsid w:val="00255D2E"/>
    <w:rsid w:val="00255F4C"/>
    <w:rsid w:val="00255FF0"/>
    <w:rsid w:val="00256264"/>
    <w:rsid w:val="00256499"/>
    <w:rsid w:val="00256729"/>
    <w:rsid w:val="00256733"/>
    <w:rsid w:val="00256F07"/>
    <w:rsid w:val="002570F0"/>
    <w:rsid w:val="002574A8"/>
    <w:rsid w:val="002575F2"/>
    <w:rsid w:val="00257D18"/>
    <w:rsid w:val="0026029F"/>
    <w:rsid w:val="00260B17"/>
    <w:rsid w:val="00260F0E"/>
    <w:rsid w:val="00260F93"/>
    <w:rsid w:val="00261950"/>
    <w:rsid w:val="002619BD"/>
    <w:rsid w:val="00262120"/>
    <w:rsid w:val="0026243F"/>
    <w:rsid w:val="0026266B"/>
    <w:rsid w:val="00262841"/>
    <w:rsid w:val="00262D6D"/>
    <w:rsid w:val="00263A98"/>
    <w:rsid w:val="00263B93"/>
    <w:rsid w:val="00264127"/>
    <w:rsid w:val="0026422A"/>
    <w:rsid w:val="002645AC"/>
    <w:rsid w:val="00264730"/>
    <w:rsid w:val="0026475F"/>
    <w:rsid w:val="00264D64"/>
    <w:rsid w:val="00265744"/>
    <w:rsid w:val="00265888"/>
    <w:rsid w:val="00265A53"/>
    <w:rsid w:val="00265A9E"/>
    <w:rsid w:val="00266288"/>
    <w:rsid w:val="002663CD"/>
    <w:rsid w:val="00266A67"/>
    <w:rsid w:val="002672B8"/>
    <w:rsid w:val="002673A6"/>
    <w:rsid w:val="00267F6B"/>
    <w:rsid w:val="00270B15"/>
    <w:rsid w:val="002711A4"/>
    <w:rsid w:val="002712FB"/>
    <w:rsid w:val="00271587"/>
    <w:rsid w:val="00271EE2"/>
    <w:rsid w:val="002723D3"/>
    <w:rsid w:val="002724C6"/>
    <w:rsid w:val="00272594"/>
    <w:rsid w:val="00272756"/>
    <w:rsid w:val="00272833"/>
    <w:rsid w:val="00272940"/>
    <w:rsid w:val="00272AD2"/>
    <w:rsid w:val="00272C5A"/>
    <w:rsid w:val="0027326E"/>
    <w:rsid w:val="0027366C"/>
    <w:rsid w:val="00274060"/>
    <w:rsid w:val="0027407A"/>
    <w:rsid w:val="0027428F"/>
    <w:rsid w:val="00274421"/>
    <w:rsid w:val="002756B6"/>
    <w:rsid w:val="002756DC"/>
    <w:rsid w:val="00275A50"/>
    <w:rsid w:val="00275ECE"/>
    <w:rsid w:val="00275ED5"/>
    <w:rsid w:val="002761D3"/>
    <w:rsid w:val="00276A47"/>
    <w:rsid w:val="00277148"/>
    <w:rsid w:val="002771AE"/>
    <w:rsid w:val="002772C8"/>
    <w:rsid w:val="002773A7"/>
    <w:rsid w:val="0027747B"/>
    <w:rsid w:val="00277B45"/>
    <w:rsid w:val="002803FB"/>
    <w:rsid w:val="002807D7"/>
    <w:rsid w:val="00280845"/>
    <w:rsid w:val="00280BF9"/>
    <w:rsid w:val="00281232"/>
    <w:rsid w:val="00281395"/>
    <w:rsid w:val="00281397"/>
    <w:rsid w:val="002818AD"/>
    <w:rsid w:val="00281E28"/>
    <w:rsid w:val="00282056"/>
    <w:rsid w:val="00282226"/>
    <w:rsid w:val="0028257B"/>
    <w:rsid w:val="00282670"/>
    <w:rsid w:val="00282B06"/>
    <w:rsid w:val="00282B74"/>
    <w:rsid w:val="00282C18"/>
    <w:rsid w:val="00282F7A"/>
    <w:rsid w:val="00282FCA"/>
    <w:rsid w:val="00283365"/>
    <w:rsid w:val="0028339A"/>
    <w:rsid w:val="002836B4"/>
    <w:rsid w:val="00283CC4"/>
    <w:rsid w:val="0028475E"/>
    <w:rsid w:val="0028497F"/>
    <w:rsid w:val="00284EFC"/>
    <w:rsid w:val="00285148"/>
    <w:rsid w:val="0028595C"/>
    <w:rsid w:val="00285A24"/>
    <w:rsid w:val="00285AD8"/>
    <w:rsid w:val="00285DC6"/>
    <w:rsid w:val="00286008"/>
    <w:rsid w:val="002864C2"/>
    <w:rsid w:val="00286F9B"/>
    <w:rsid w:val="002872FB"/>
    <w:rsid w:val="00287628"/>
    <w:rsid w:val="002878CC"/>
    <w:rsid w:val="00287923"/>
    <w:rsid w:val="00287C04"/>
    <w:rsid w:val="0029057F"/>
    <w:rsid w:val="00290668"/>
    <w:rsid w:val="002909BA"/>
    <w:rsid w:val="00291064"/>
    <w:rsid w:val="002914BF"/>
    <w:rsid w:val="00291896"/>
    <w:rsid w:val="00291F8D"/>
    <w:rsid w:val="00291FA2"/>
    <w:rsid w:val="002927A3"/>
    <w:rsid w:val="0029283F"/>
    <w:rsid w:val="00292AA7"/>
    <w:rsid w:val="00292AFB"/>
    <w:rsid w:val="00292FA9"/>
    <w:rsid w:val="00293174"/>
    <w:rsid w:val="002931DF"/>
    <w:rsid w:val="002932AD"/>
    <w:rsid w:val="002932B2"/>
    <w:rsid w:val="00293395"/>
    <w:rsid w:val="0029389E"/>
    <w:rsid w:val="00293B23"/>
    <w:rsid w:val="00293CBB"/>
    <w:rsid w:val="00293E36"/>
    <w:rsid w:val="00293E7A"/>
    <w:rsid w:val="00293ED6"/>
    <w:rsid w:val="00294032"/>
    <w:rsid w:val="00294131"/>
    <w:rsid w:val="00294240"/>
    <w:rsid w:val="002944B8"/>
    <w:rsid w:val="002947E0"/>
    <w:rsid w:val="00294D5A"/>
    <w:rsid w:val="00294E32"/>
    <w:rsid w:val="00295413"/>
    <w:rsid w:val="00295538"/>
    <w:rsid w:val="00295572"/>
    <w:rsid w:val="002955D7"/>
    <w:rsid w:val="00295E7C"/>
    <w:rsid w:val="00295F96"/>
    <w:rsid w:val="00295FDC"/>
    <w:rsid w:val="002964F2"/>
    <w:rsid w:val="00296CE6"/>
    <w:rsid w:val="00296D65"/>
    <w:rsid w:val="00296F63"/>
    <w:rsid w:val="00297441"/>
    <w:rsid w:val="00297994"/>
    <w:rsid w:val="00297D93"/>
    <w:rsid w:val="00297F79"/>
    <w:rsid w:val="002A03FA"/>
    <w:rsid w:val="002A0B51"/>
    <w:rsid w:val="002A1042"/>
    <w:rsid w:val="002A11A7"/>
    <w:rsid w:val="002A16C3"/>
    <w:rsid w:val="002A1908"/>
    <w:rsid w:val="002A2001"/>
    <w:rsid w:val="002A2107"/>
    <w:rsid w:val="002A2408"/>
    <w:rsid w:val="002A25E7"/>
    <w:rsid w:val="002A2824"/>
    <w:rsid w:val="002A2A85"/>
    <w:rsid w:val="002A3780"/>
    <w:rsid w:val="002A3A93"/>
    <w:rsid w:val="002A3B4E"/>
    <w:rsid w:val="002A4089"/>
    <w:rsid w:val="002A44A5"/>
    <w:rsid w:val="002A4508"/>
    <w:rsid w:val="002A4609"/>
    <w:rsid w:val="002A4990"/>
    <w:rsid w:val="002A51DB"/>
    <w:rsid w:val="002A52DC"/>
    <w:rsid w:val="002A56CB"/>
    <w:rsid w:val="002A5AA1"/>
    <w:rsid w:val="002A5E42"/>
    <w:rsid w:val="002A625A"/>
    <w:rsid w:val="002A62B5"/>
    <w:rsid w:val="002A6657"/>
    <w:rsid w:val="002A6A12"/>
    <w:rsid w:val="002A6B37"/>
    <w:rsid w:val="002A6BE1"/>
    <w:rsid w:val="002A6D0D"/>
    <w:rsid w:val="002A7B4F"/>
    <w:rsid w:val="002B01DA"/>
    <w:rsid w:val="002B0A72"/>
    <w:rsid w:val="002B1113"/>
    <w:rsid w:val="002B1132"/>
    <w:rsid w:val="002B1524"/>
    <w:rsid w:val="002B169B"/>
    <w:rsid w:val="002B238C"/>
    <w:rsid w:val="002B269F"/>
    <w:rsid w:val="002B27ED"/>
    <w:rsid w:val="002B2986"/>
    <w:rsid w:val="002B31B9"/>
    <w:rsid w:val="002B3543"/>
    <w:rsid w:val="002B3658"/>
    <w:rsid w:val="002B3753"/>
    <w:rsid w:val="002B38A7"/>
    <w:rsid w:val="002B3B06"/>
    <w:rsid w:val="002B3F06"/>
    <w:rsid w:val="002B3FC6"/>
    <w:rsid w:val="002B42AB"/>
    <w:rsid w:val="002B4547"/>
    <w:rsid w:val="002B4ED8"/>
    <w:rsid w:val="002B4EDE"/>
    <w:rsid w:val="002B5905"/>
    <w:rsid w:val="002B597F"/>
    <w:rsid w:val="002B689F"/>
    <w:rsid w:val="002B6B85"/>
    <w:rsid w:val="002B71F6"/>
    <w:rsid w:val="002B7A40"/>
    <w:rsid w:val="002C024C"/>
    <w:rsid w:val="002C07D5"/>
    <w:rsid w:val="002C0CC2"/>
    <w:rsid w:val="002C0EF1"/>
    <w:rsid w:val="002C17BD"/>
    <w:rsid w:val="002C192D"/>
    <w:rsid w:val="002C2006"/>
    <w:rsid w:val="002C208D"/>
    <w:rsid w:val="002C21A0"/>
    <w:rsid w:val="002C23B1"/>
    <w:rsid w:val="002C251A"/>
    <w:rsid w:val="002C25A0"/>
    <w:rsid w:val="002C25C5"/>
    <w:rsid w:val="002C264B"/>
    <w:rsid w:val="002C284A"/>
    <w:rsid w:val="002C28DE"/>
    <w:rsid w:val="002C2B7E"/>
    <w:rsid w:val="002C2CEA"/>
    <w:rsid w:val="002C2F26"/>
    <w:rsid w:val="002C31D8"/>
    <w:rsid w:val="002C32BE"/>
    <w:rsid w:val="002C3DFA"/>
    <w:rsid w:val="002C45AD"/>
    <w:rsid w:val="002C4693"/>
    <w:rsid w:val="002C48F7"/>
    <w:rsid w:val="002C4905"/>
    <w:rsid w:val="002C49FF"/>
    <w:rsid w:val="002C4A1E"/>
    <w:rsid w:val="002C51C6"/>
    <w:rsid w:val="002C539C"/>
    <w:rsid w:val="002C5707"/>
    <w:rsid w:val="002C67FB"/>
    <w:rsid w:val="002C73C6"/>
    <w:rsid w:val="002C77BD"/>
    <w:rsid w:val="002C7B35"/>
    <w:rsid w:val="002C7CDC"/>
    <w:rsid w:val="002D079A"/>
    <w:rsid w:val="002D0823"/>
    <w:rsid w:val="002D0CCD"/>
    <w:rsid w:val="002D0D9E"/>
    <w:rsid w:val="002D0EB4"/>
    <w:rsid w:val="002D1607"/>
    <w:rsid w:val="002D191D"/>
    <w:rsid w:val="002D1B68"/>
    <w:rsid w:val="002D1F0A"/>
    <w:rsid w:val="002D24A1"/>
    <w:rsid w:val="002D26E0"/>
    <w:rsid w:val="002D2974"/>
    <w:rsid w:val="002D3098"/>
    <w:rsid w:val="002D31AC"/>
    <w:rsid w:val="002D33EE"/>
    <w:rsid w:val="002D3443"/>
    <w:rsid w:val="002D3602"/>
    <w:rsid w:val="002D4EF3"/>
    <w:rsid w:val="002D5862"/>
    <w:rsid w:val="002D5A95"/>
    <w:rsid w:val="002D5D7E"/>
    <w:rsid w:val="002D6801"/>
    <w:rsid w:val="002D7138"/>
    <w:rsid w:val="002D74F1"/>
    <w:rsid w:val="002D79CA"/>
    <w:rsid w:val="002D7A16"/>
    <w:rsid w:val="002E0AB9"/>
    <w:rsid w:val="002E0ACD"/>
    <w:rsid w:val="002E0BE9"/>
    <w:rsid w:val="002E0DB9"/>
    <w:rsid w:val="002E1139"/>
    <w:rsid w:val="002E11D1"/>
    <w:rsid w:val="002E15D0"/>
    <w:rsid w:val="002E19D6"/>
    <w:rsid w:val="002E25AC"/>
    <w:rsid w:val="002E26FB"/>
    <w:rsid w:val="002E280D"/>
    <w:rsid w:val="002E302E"/>
    <w:rsid w:val="002E3126"/>
    <w:rsid w:val="002E33A4"/>
    <w:rsid w:val="002E342D"/>
    <w:rsid w:val="002E3D09"/>
    <w:rsid w:val="002E3D7F"/>
    <w:rsid w:val="002E4465"/>
    <w:rsid w:val="002E44F7"/>
    <w:rsid w:val="002E4A06"/>
    <w:rsid w:val="002E4BAE"/>
    <w:rsid w:val="002E4F51"/>
    <w:rsid w:val="002E572E"/>
    <w:rsid w:val="002E5920"/>
    <w:rsid w:val="002E606B"/>
    <w:rsid w:val="002E6325"/>
    <w:rsid w:val="002E647E"/>
    <w:rsid w:val="002E675B"/>
    <w:rsid w:val="002E76E6"/>
    <w:rsid w:val="002E76ED"/>
    <w:rsid w:val="002F02A2"/>
    <w:rsid w:val="002F12C8"/>
    <w:rsid w:val="002F1449"/>
    <w:rsid w:val="002F14A2"/>
    <w:rsid w:val="002F1539"/>
    <w:rsid w:val="002F16E4"/>
    <w:rsid w:val="002F1CB6"/>
    <w:rsid w:val="002F1CF4"/>
    <w:rsid w:val="002F1DBA"/>
    <w:rsid w:val="002F1F0C"/>
    <w:rsid w:val="002F1FB9"/>
    <w:rsid w:val="002F24F4"/>
    <w:rsid w:val="002F2598"/>
    <w:rsid w:val="002F2BD7"/>
    <w:rsid w:val="002F2D89"/>
    <w:rsid w:val="002F2F94"/>
    <w:rsid w:val="002F351C"/>
    <w:rsid w:val="002F391E"/>
    <w:rsid w:val="002F3951"/>
    <w:rsid w:val="002F3ADA"/>
    <w:rsid w:val="002F4A60"/>
    <w:rsid w:val="002F51DA"/>
    <w:rsid w:val="002F555F"/>
    <w:rsid w:val="002F5B43"/>
    <w:rsid w:val="002F6550"/>
    <w:rsid w:val="002F65CD"/>
    <w:rsid w:val="002F699A"/>
    <w:rsid w:val="002F6BE6"/>
    <w:rsid w:val="002F6C36"/>
    <w:rsid w:val="002F70F9"/>
    <w:rsid w:val="002F72F7"/>
    <w:rsid w:val="002F7580"/>
    <w:rsid w:val="002F75D5"/>
    <w:rsid w:val="002F7822"/>
    <w:rsid w:val="002F7B8C"/>
    <w:rsid w:val="002F7DC3"/>
    <w:rsid w:val="002F7FF7"/>
    <w:rsid w:val="003005B0"/>
    <w:rsid w:val="00300D82"/>
    <w:rsid w:val="0030159E"/>
    <w:rsid w:val="0030186E"/>
    <w:rsid w:val="00301C7F"/>
    <w:rsid w:val="00302428"/>
    <w:rsid w:val="0030273B"/>
    <w:rsid w:val="0030279C"/>
    <w:rsid w:val="0030293F"/>
    <w:rsid w:val="00302AB4"/>
    <w:rsid w:val="003034EE"/>
    <w:rsid w:val="00303754"/>
    <w:rsid w:val="00303A0C"/>
    <w:rsid w:val="00304931"/>
    <w:rsid w:val="00304A64"/>
    <w:rsid w:val="00304ED2"/>
    <w:rsid w:val="003052C5"/>
    <w:rsid w:val="0030563B"/>
    <w:rsid w:val="003056EF"/>
    <w:rsid w:val="00305DA8"/>
    <w:rsid w:val="0030622E"/>
    <w:rsid w:val="003065EB"/>
    <w:rsid w:val="0030691C"/>
    <w:rsid w:val="00306940"/>
    <w:rsid w:val="00306BAE"/>
    <w:rsid w:val="00306F4F"/>
    <w:rsid w:val="0030717C"/>
    <w:rsid w:val="00307256"/>
    <w:rsid w:val="003074B7"/>
    <w:rsid w:val="00307CAB"/>
    <w:rsid w:val="00307DA7"/>
    <w:rsid w:val="003103A3"/>
    <w:rsid w:val="00310610"/>
    <w:rsid w:val="003106C1"/>
    <w:rsid w:val="00311033"/>
    <w:rsid w:val="0031144D"/>
    <w:rsid w:val="003115EE"/>
    <w:rsid w:val="003117C8"/>
    <w:rsid w:val="0031229D"/>
    <w:rsid w:val="003123C4"/>
    <w:rsid w:val="003126A6"/>
    <w:rsid w:val="00312A58"/>
    <w:rsid w:val="00312DE8"/>
    <w:rsid w:val="00313B77"/>
    <w:rsid w:val="00314CD9"/>
    <w:rsid w:val="00314D94"/>
    <w:rsid w:val="00316A5D"/>
    <w:rsid w:val="003171D6"/>
    <w:rsid w:val="00317596"/>
    <w:rsid w:val="00317B15"/>
    <w:rsid w:val="00317ECC"/>
    <w:rsid w:val="00320397"/>
    <w:rsid w:val="00320D3B"/>
    <w:rsid w:val="00321516"/>
    <w:rsid w:val="00322232"/>
    <w:rsid w:val="0032244B"/>
    <w:rsid w:val="00322493"/>
    <w:rsid w:val="00322B5A"/>
    <w:rsid w:val="00322E27"/>
    <w:rsid w:val="00322FA3"/>
    <w:rsid w:val="00323041"/>
    <w:rsid w:val="0032348C"/>
    <w:rsid w:val="00323676"/>
    <w:rsid w:val="00323AF9"/>
    <w:rsid w:val="00323DBE"/>
    <w:rsid w:val="00323EB1"/>
    <w:rsid w:val="00323F85"/>
    <w:rsid w:val="003240D7"/>
    <w:rsid w:val="00324363"/>
    <w:rsid w:val="003244AB"/>
    <w:rsid w:val="003244BD"/>
    <w:rsid w:val="0032458A"/>
    <w:rsid w:val="00324A1F"/>
    <w:rsid w:val="00324B37"/>
    <w:rsid w:val="0032565E"/>
    <w:rsid w:val="003256E2"/>
    <w:rsid w:val="00325A83"/>
    <w:rsid w:val="00325CA5"/>
    <w:rsid w:val="00326338"/>
    <w:rsid w:val="00326491"/>
    <w:rsid w:val="0032668D"/>
    <w:rsid w:val="003269BA"/>
    <w:rsid w:val="003270BD"/>
    <w:rsid w:val="00327276"/>
    <w:rsid w:val="00327402"/>
    <w:rsid w:val="003274A1"/>
    <w:rsid w:val="00327642"/>
    <w:rsid w:val="003276CD"/>
    <w:rsid w:val="00327D92"/>
    <w:rsid w:val="00327E16"/>
    <w:rsid w:val="00330659"/>
    <w:rsid w:val="0033097F"/>
    <w:rsid w:val="00330EE8"/>
    <w:rsid w:val="00331060"/>
    <w:rsid w:val="0033285E"/>
    <w:rsid w:val="00332E9B"/>
    <w:rsid w:val="00333291"/>
    <w:rsid w:val="00333789"/>
    <w:rsid w:val="0033399A"/>
    <w:rsid w:val="00333E48"/>
    <w:rsid w:val="0033412F"/>
    <w:rsid w:val="003341C9"/>
    <w:rsid w:val="003347BD"/>
    <w:rsid w:val="00334D0E"/>
    <w:rsid w:val="003350E7"/>
    <w:rsid w:val="00335844"/>
    <w:rsid w:val="00335FCA"/>
    <w:rsid w:val="0033642F"/>
    <w:rsid w:val="00336460"/>
    <w:rsid w:val="003367F7"/>
    <w:rsid w:val="00336B8E"/>
    <w:rsid w:val="00337BB7"/>
    <w:rsid w:val="00337DFD"/>
    <w:rsid w:val="003402B1"/>
    <w:rsid w:val="00340614"/>
    <w:rsid w:val="0034085B"/>
    <w:rsid w:val="003410DF"/>
    <w:rsid w:val="003412EA"/>
    <w:rsid w:val="0034185C"/>
    <w:rsid w:val="00342010"/>
    <w:rsid w:val="00342A62"/>
    <w:rsid w:val="00342B35"/>
    <w:rsid w:val="00342CBC"/>
    <w:rsid w:val="0034304D"/>
    <w:rsid w:val="003430A2"/>
    <w:rsid w:val="003441AE"/>
    <w:rsid w:val="0034448A"/>
    <w:rsid w:val="003444A7"/>
    <w:rsid w:val="00344658"/>
    <w:rsid w:val="003447AB"/>
    <w:rsid w:val="003448F5"/>
    <w:rsid w:val="00344FAA"/>
    <w:rsid w:val="0034517D"/>
    <w:rsid w:val="00345B45"/>
    <w:rsid w:val="00345BF5"/>
    <w:rsid w:val="00345DD3"/>
    <w:rsid w:val="0034638B"/>
    <w:rsid w:val="00346591"/>
    <w:rsid w:val="00346988"/>
    <w:rsid w:val="00346B74"/>
    <w:rsid w:val="00346C12"/>
    <w:rsid w:val="003479A5"/>
    <w:rsid w:val="00347A77"/>
    <w:rsid w:val="003503F9"/>
    <w:rsid w:val="00350654"/>
    <w:rsid w:val="00350693"/>
    <w:rsid w:val="00350DB5"/>
    <w:rsid w:val="00350F24"/>
    <w:rsid w:val="00351323"/>
    <w:rsid w:val="00351427"/>
    <w:rsid w:val="00351699"/>
    <w:rsid w:val="00351718"/>
    <w:rsid w:val="003517CD"/>
    <w:rsid w:val="00351AF8"/>
    <w:rsid w:val="00351C38"/>
    <w:rsid w:val="00352005"/>
    <w:rsid w:val="003524B3"/>
    <w:rsid w:val="003529C5"/>
    <w:rsid w:val="00353559"/>
    <w:rsid w:val="0035360B"/>
    <w:rsid w:val="003536F9"/>
    <w:rsid w:val="00353E68"/>
    <w:rsid w:val="0035411D"/>
    <w:rsid w:val="00354120"/>
    <w:rsid w:val="00354399"/>
    <w:rsid w:val="00354AF5"/>
    <w:rsid w:val="00354DAD"/>
    <w:rsid w:val="00354EAB"/>
    <w:rsid w:val="003551A0"/>
    <w:rsid w:val="00355625"/>
    <w:rsid w:val="003558C6"/>
    <w:rsid w:val="00355E7F"/>
    <w:rsid w:val="00355EC9"/>
    <w:rsid w:val="0035629B"/>
    <w:rsid w:val="00356932"/>
    <w:rsid w:val="003569E4"/>
    <w:rsid w:val="0035751B"/>
    <w:rsid w:val="00357716"/>
    <w:rsid w:val="00357812"/>
    <w:rsid w:val="00357AD6"/>
    <w:rsid w:val="0036033A"/>
    <w:rsid w:val="003610E5"/>
    <w:rsid w:val="0036158B"/>
    <w:rsid w:val="00361629"/>
    <w:rsid w:val="00361656"/>
    <w:rsid w:val="00361BB4"/>
    <w:rsid w:val="003624D5"/>
    <w:rsid w:val="003629B4"/>
    <w:rsid w:val="0036323B"/>
    <w:rsid w:val="0036338B"/>
    <w:rsid w:val="003635E3"/>
    <w:rsid w:val="00363801"/>
    <w:rsid w:val="00363AE1"/>
    <w:rsid w:val="00363BD9"/>
    <w:rsid w:val="00364BEB"/>
    <w:rsid w:val="003651C5"/>
    <w:rsid w:val="003659D7"/>
    <w:rsid w:val="003659F3"/>
    <w:rsid w:val="00365F6F"/>
    <w:rsid w:val="003661EA"/>
    <w:rsid w:val="00366252"/>
    <w:rsid w:val="003664E0"/>
    <w:rsid w:val="003666F0"/>
    <w:rsid w:val="003667ED"/>
    <w:rsid w:val="0036685B"/>
    <w:rsid w:val="0036689C"/>
    <w:rsid w:val="00366958"/>
    <w:rsid w:val="00366A12"/>
    <w:rsid w:val="00366B72"/>
    <w:rsid w:val="00366D8A"/>
    <w:rsid w:val="00367EE2"/>
    <w:rsid w:val="00370279"/>
    <w:rsid w:val="00370791"/>
    <w:rsid w:val="0037083E"/>
    <w:rsid w:val="00370B58"/>
    <w:rsid w:val="00371009"/>
    <w:rsid w:val="00371157"/>
    <w:rsid w:val="003712B0"/>
    <w:rsid w:val="003728A9"/>
    <w:rsid w:val="00372CC5"/>
    <w:rsid w:val="00372DB6"/>
    <w:rsid w:val="00372DD2"/>
    <w:rsid w:val="0037345D"/>
    <w:rsid w:val="003737A2"/>
    <w:rsid w:val="00373887"/>
    <w:rsid w:val="003739CF"/>
    <w:rsid w:val="00373C21"/>
    <w:rsid w:val="00373C60"/>
    <w:rsid w:val="00373D6A"/>
    <w:rsid w:val="00373DD8"/>
    <w:rsid w:val="003749CA"/>
    <w:rsid w:val="00374BA1"/>
    <w:rsid w:val="003751DF"/>
    <w:rsid w:val="00376136"/>
    <w:rsid w:val="0037673B"/>
    <w:rsid w:val="003768A4"/>
    <w:rsid w:val="003768CB"/>
    <w:rsid w:val="00376B1D"/>
    <w:rsid w:val="00376E94"/>
    <w:rsid w:val="00377756"/>
    <w:rsid w:val="00377879"/>
    <w:rsid w:val="00377ADF"/>
    <w:rsid w:val="00380160"/>
    <w:rsid w:val="0038061C"/>
    <w:rsid w:val="00380D05"/>
    <w:rsid w:val="00380F89"/>
    <w:rsid w:val="00381BF9"/>
    <w:rsid w:val="00381CFF"/>
    <w:rsid w:val="00381FD5"/>
    <w:rsid w:val="00382482"/>
    <w:rsid w:val="00382EED"/>
    <w:rsid w:val="003830FC"/>
    <w:rsid w:val="0038328E"/>
    <w:rsid w:val="003835ED"/>
    <w:rsid w:val="00383721"/>
    <w:rsid w:val="00383980"/>
    <w:rsid w:val="00383D01"/>
    <w:rsid w:val="00383EF5"/>
    <w:rsid w:val="00384294"/>
    <w:rsid w:val="0038431E"/>
    <w:rsid w:val="003849E4"/>
    <w:rsid w:val="00384B0C"/>
    <w:rsid w:val="00384BEC"/>
    <w:rsid w:val="00384D03"/>
    <w:rsid w:val="0038535B"/>
    <w:rsid w:val="0038583C"/>
    <w:rsid w:val="00386A59"/>
    <w:rsid w:val="00386DA1"/>
    <w:rsid w:val="00387534"/>
    <w:rsid w:val="00387E39"/>
    <w:rsid w:val="003902C5"/>
    <w:rsid w:val="00390700"/>
    <w:rsid w:val="00390A4D"/>
    <w:rsid w:val="00390ADB"/>
    <w:rsid w:val="003918F1"/>
    <w:rsid w:val="00391ECA"/>
    <w:rsid w:val="00391FC0"/>
    <w:rsid w:val="00392637"/>
    <w:rsid w:val="0039269C"/>
    <w:rsid w:val="003926C6"/>
    <w:rsid w:val="00392DAE"/>
    <w:rsid w:val="00393EDB"/>
    <w:rsid w:val="00394DB7"/>
    <w:rsid w:val="00394F4D"/>
    <w:rsid w:val="0039532A"/>
    <w:rsid w:val="00395638"/>
    <w:rsid w:val="003959B0"/>
    <w:rsid w:val="00395AC4"/>
    <w:rsid w:val="00395CA6"/>
    <w:rsid w:val="00395F35"/>
    <w:rsid w:val="00396527"/>
    <w:rsid w:val="00396639"/>
    <w:rsid w:val="00396D0A"/>
    <w:rsid w:val="00396F2E"/>
    <w:rsid w:val="00396F43"/>
    <w:rsid w:val="00397184"/>
    <w:rsid w:val="0039744C"/>
    <w:rsid w:val="00397618"/>
    <w:rsid w:val="00397CCF"/>
    <w:rsid w:val="00397D0C"/>
    <w:rsid w:val="00397DDB"/>
    <w:rsid w:val="00397EFE"/>
    <w:rsid w:val="003A01DE"/>
    <w:rsid w:val="003A021D"/>
    <w:rsid w:val="003A04FE"/>
    <w:rsid w:val="003A0EB4"/>
    <w:rsid w:val="003A0FBE"/>
    <w:rsid w:val="003A1F34"/>
    <w:rsid w:val="003A21F9"/>
    <w:rsid w:val="003A234C"/>
    <w:rsid w:val="003A2626"/>
    <w:rsid w:val="003A2A53"/>
    <w:rsid w:val="003A2B5D"/>
    <w:rsid w:val="003A2CAB"/>
    <w:rsid w:val="003A307E"/>
    <w:rsid w:val="003A358F"/>
    <w:rsid w:val="003A36CA"/>
    <w:rsid w:val="003A370D"/>
    <w:rsid w:val="003A3EAB"/>
    <w:rsid w:val="003A411A"/>
    <w:rsid w:val="003A4144"/>
    <w:rsid w:val="003A42C7"/>
    <w:rsid w:val="003A4407"/>
    <w:rsid w:val="003A560C"/>
    <w:rsid w:val="003A58AF"/>
    <w:rsid w:val="003A6DF5"/>
    <w:rsid w:val="003A6FF9"/>
    <w:rsid w:val="003A79BD"/>
    <w:rsid w:val="003A7C20"/>
    <w:rsid w:val="003A7F76"/>
    <w:rsid w:val="003B0557"/>
    <w:rsid w:val="003B07B1"/>
    <w:rsid w:val="003B0A10"/>
    <w:rsid w:val="003B11E1"/>
    <w:rsid w:val="003B15D5"/>
    <w:rsid w:val="003B1801"/>
    <w:rsid w:val="003B1844"/>
    <w:rsid w:val="003B1A40"/>
    <w:rsid w:val="003B1A9B"/>
    <w:rsid w:val="003B1CDF"/>
    <w:rsid w:val="003B1D95"/>
    <w:rsid w:val="003B218D"/>
    <w:rsid w:val="003B2299"/>
    <w:rsid w:val="003B24B3"/>
    <w:rsid w:val="003B2860"/>
    <w:rsid w:val="003B2935"/>
    <w:rsid w:val="003B304E"/>
    <w:rsid w:val="003B38F6"/>
    <w:rsid w:val="003B3E90"/>
    <w:rsid w:val="003B4330"/>
    <w:rsid w:val="003B4D12"/>
    <w:rsid w:val="003B538D"/>
    <w:rsid w:val="003B5C3F"/>
    <w:rsid w:val="003B5C98"/>
    <w:rsid w:val="003B5DE3"/>
    <w:rsid w:val="003B62E1"/>
    <w:rsid w:val="003B6C4F"/>
    <w:rsid w:val="003B743B"/>
    <w:rsid w:val="003B7752"/>
    <w:rsid w:val="003B7BEB"/>
    <w:rsid w:val="003C0363"/>
    <w:rsid w:val="003C078A"/>
    <w:rsid w:val="003C0A73"/>
    <w:rsid w:val="003C0A84"/>
    <w:rsid w:val="003C0FD2"/>
    <w:rsid w:val="003C131C"/>
    <w:rsid w:val="003C1876"/>
    <w:rsid w:val="003C1BA8"/>
    <w:rsid w:val="003C1CC3"/>
    <w:rsid w:val="003C1D5F"/>
    <w:rsid w:val="003C26DD"/>
    <w:rsid w:val="003C2829"/>
    <w:rsid w:val="003C2930"/>
    <w:rsid w:val="003C3CF4"/>
    <w:rsid w:val="003C3DD2"/>
    <w:rsid w:val="003C55AB"/>
    <w:rsid w:val="003C5829"/>
    <w:rsid w:val="003C5940"/>
    <w:rsid w:val="003C5B35"/>
    <w:rsid w:val="003C5D8B"/>
    <w:rsid w:val="003C627A"/>
    <w:rsid w:val="003C6B52"/>
    <w:rsid w:val="003C6F6F"/>
    <w:rsid w:val="003C74FD"/>
    <w:rsid w:val="003C787F"/>
    <w:rsid w:val="003D01C2"/>
    <w:rsid w:val="003D0443"/>
    <w:rsid w:val="003D0757"/>
    <w:rsid w:val="003D0C7A"/>
    <w:rsid w:val="003D0DDF"/>
    <w:rsid w:val="003D0F08"/>
    <w:rsid w:val="003D1041"/>
    <w:rsid w:val="003D15AA"/>
    <w:rsid w:val="003D1935"/>
    <w:rsid w:val="003D1B21"/>
    <w:rsid w:val="003D1FA3"/>
    <w:rsid w:val="003D2100"/>
    <w:rsid w:val="003D2AD1"/>
    <w:rsid w:val="003D3092"/>
    <w:rsid w:val="003D3116"/>
    <w:rsid w:val="003D321B"/>
    <w:rsid w:val="003D36D3"/>
    <w:rsid w:val="003D3CFC"/>
    <w:rsid w:val="003D41A9"/>
    <w:rsid w:val="003D43A2"/>
    <w:rsid w:val="003D43FF"/>
    <w:rsid w:val="003D4BBD"/>
    <w:rsid w:val="003D56DC"/>
    <w:rsid w:val="003D5738"/>
    <w:rsid w:val="003D5962"/>
    <w:rsid w:val="003D5B28"/>
    <w:rsid w:val="003D657D"/>
    <w:rsid w:val="003D65F9"/>
    <w:rsid w:val="003D665A"/>
    <w:rsid w:val="003D709D"/>
    <w:rsid w:val="003D79A7"/>
    <w:rsid w:val="003E0264"/>
    <w:rsid w:val="003E0308"/>
    <w:rsid w:val="003E055B"/>
    <w:rsid w:val="003E0CA0"/>
    <w:rsid w:val="003E0CC8"/>
    <w:rsid w:val="003E0CDD"/>
    <w:rsid w:val="003E0DCA"/>
    <w:rsid w:val="003E1059"/>
    <w:rsid w:val="003E106C"/>
    <w:rsid w:val="003E1C0C"/>
    <w:rsid w:val="003E1C53"/>
    <w:rsid w:val="003E1D99"/>
    <w:rsid w:val="003E1DC0"/>
    <w:rsid w:val="003E202A"/>
    <w:rsid w:val="003E2450"/>
    <w:rsid w:val="003E254F"/>
    <w:rsid w:val="003E2854"/>
    <w:rsid w:val="003E29FE"/>
    <w:rsid w:val="003E2A34"/>
    <w:rsid w:val="003E2DBF"/>
    <w:rsid w:val="003E3A2F"/>
    <w:rsid w:val="003E3A4C"/>
    <w:rsid w:val="003E3EBE"/>
    <w:rsid w:val="003E4186"/>
    <w:rsid w:val="003E41C0"/>
    <w:rsid w:val="003E43E8"/>
    <w:rsid w:val="003E4610"/>
    <w:rsid w:val="003E4CE1"/>
    <w:rsid w:val="003E5609"/>
    <w:rsid w:val="003E5F07"/>
    <w:rsid w:val="003E6709"/>
    <w:rsid w:val="003E694E"/>
    <w:rsid w:val="003E6AD4"/>
    <w:rsid w:val="003E7256"/>
    <w:rsid w:val="003E730B"/>
    <w:rsid w:val="003E7805"/>
    <w:rsid w:val="003E7C33"/>
    <w:rsid w:val="003E7C37"/>
    <w:rsid w:val="003E7FC3"/>
    <w:rsid w:val="003F046E"/>
    <w:rsid w:val="003F0615"/>
    <w:rsid w:val="003F1AF2"/>
    <w:rsid w:val="003F1E85"/>
    <w:rsid w:val="003F236A"/>
    <w:rsid w:val="003F27BA"/>
    <w:rsid w:val="003F2BFB"/>
    <w:rsid w:val="003F31A8"/>
    <w:rsid w:val="003F32DB"/>
    <w:rsid w:val="003F379D"/>
    <w:rsid w:val="003F3E08"/>
    <w:rsid w:val="003F3E3E"/>
    <w:rsid w:val="003F430D"/>
    <w:rsid w:val="003F4C81"/>
    <w:rsid w:val="003F5128"/>
    <w:rsid w:val="003F57D9"/>
    <w:rsid w:val="003F5AEB"/>
    <w:rsid w:val="003F5B35"/>
    <w:rsid w:val="003F5B61"/>
    <w:rsid w:val="003F5BD2"/>
    <w:rsid w:val="003F5E33"/>
    <w:rsid w:val="003F65EF"/>
    <w:rsid w:val="003F6811"/>
    <w:rsid w:val="003F683E"/>
    <w:rsid w:val="003F70E5"/>
    <w:rsid w:val="003F7602"/>
    <w:rsid w:val="003F786E"/>
    <w:rsid w:val="003F7947"/>
    <w:rsid w:val="003F7AA4"/>
    <w:rsid w:val="003F7BDE"/>
    <w:rsid w:val="003F7FC5"/>
    <w:rsid w:val="00400143"/>
    <w:rsid w:val="0040014A"/>
    <w:rsid w:val="0040063E"/>
    <w:rsid w:val="00400841"/>
    <w:rsid w:val="00400983"/>
    <w:rsid w:val="004012C3"/>
    <w:rsid w:val="0040130E"/>
    <w:rsid w:val="00401727"/>
    <w:rsid w:val="00401C8B"/>
    <w:rsid w:val="0040211B"/>
    <w:rsid w:val="00402182"/>
    <w:rsid w:val="00402470"/>
    <w:rsid w:val="004028F9"/>
    <w:rsid w:val="00402E25"/>
    <w:rsid w:val="00402F5E"/>
    <w:rsid w:val="00403156"/>
    <w:rsid w:val="00403365"/>
    <w:rsid w:val="00403376"/>
    <w:rsid w:val="00403384"/>
    <w:rsid w:val="00403A78"/>
    <w:rsid w:val="00403E89"/>
    <w:rsid w:val="004041F3"/>
    <w:rsid w:val="004043DC"/>
    <w:rsid w:val="0040449E"/>
    <w:rsid w:val="0040498A"/>
    <w:rsid w:val="00404A00"/>
    <w:rsid w:val="00404EA1"/>
    <w:rsid w:val="004051BC"/>
    <w:rsid w:val="004054B1"/>
    <w:rsid w:val="004055C1"/>
    <w:rsid w:val="00405731"/>
    <w:rsid w:val="00405DA0"/>
    <w:rsid w:val="0040614D"/>
    <w:rsid w:val="00406281"/>
    <w:rsid w:val="0040682E"/>
    <w:rsid w:val="00406B2E"/>
    <w:rsid w:val="00406F39"/>
    <w:rsid w:val="0040714F"/>
    <w:rsid w:val="00407591"/>
    <w:rsid w:val="0040773B"/>
    <w:rsid w:val="0040791A"/>
    <w:rsid w:val="004079B7"/>
    <w:rsid w:val="00407A79"/>
    <w:rsid w:val="00407AB8"/>
    <w:rsid w:val="0041001B"/>
    <w:rsid w:val="0041035F"/>
    <w:rsid w:val="00410362"/>
    <w:rsid w:val="00410880"/>
    <w:rsid w:val="00410A4F"/>
    <w:rsid w:val="00410EBD"/>
    <w:rsid w:val="0041107F"/>
    <w:rsid w:val="004115F5"/>
    <w:rsid w:val="00411A7E"/>
    <w:rsid w:val="004123B9"/>
    <w:rsid w:val="004125B9"/>
    <w:rsid w:val="004126A4"/>
    <w:rsid w:val="00412D3C"/>
    <w:rsid w:val="00413268"/>
    <w:rsid w:val="004137FA"/>
    <w:rsid w:val="00413AE9"/>
    <w:rsid w:val="00413EAE"/>
    <w:rsid w:val="004141D2"/>
    <w:rsid w:val="004143B1"/>
    <w:rsid w:val="004146B6"/>
    <w:rsid w:val="004147FF"/>
    <w:rsid w:val="00414913"/>
    <w:rsid w:val="00414AA5"/>
    <w:rsid w:val="00414EB9"/>
    <w:rsid w:val="004150CB"/>
    <w:rsid w:val="0041522F"/>
    <w:rsid w:val="0041525B"/>
    <w:rsid w:val="004153DF"/>
    <w:rsid w:val="00415925"/>
    <w:rsid w:val="00416433"/>
    <w:rsid w:val="0041651C"/>
    <w:rsid w:val="0041693E"/>
    <w:rsid w:val="00416B36"/>
    <w:rsid w:val="00417029"/>
    <w:rsid w:val="0041747D"/>
    <w:rsid w:val="00417850"/>
    <w:rsid w:val="00417CC7"/>
    <w:rsid w:val="00420B2C"/>
    <w:rsid w:val="00420DED"/>
    <w:rsid w:val="00421025"/>
    <w:rsid w:val="00421482"/>
    <w:rsid w:val="004215A5"/>
    <w:rsid w:val="00421939"/>
    <w:rsid w:val="0042214A"/>
    <w:rsid w:val="00422222"/>
    <w:rsid w:val="004223DF"/>
    <w:rsid w:val="00422821"/>
    <w:rsid w:val="00422F77"/>
    <w:rsid w:val="0042310E"/>
    <w:rsid w:val="004232A9"/>
    <w:rsid w:val="004235BB"/>
    <w:rsid w:val="0042391B"/>
    <w:rsid w:val="00423F97"/>
    <w:rsid w:val="0042414F"/>
    <w:rsid w:val="004242B7"/>
    <w:rsid w:val="00424500"/>
    <w:rsid w:val="00424796"/>
    <w:rsid w:val="004247A2"/>
    <w:rsid w:val="004247DA"/>
    <w:rsid w:val="00425081"/>
    <w:rsid w:val="004250C3"/>
    <w:rsid w:val="00425318"/>
    <w:rsid w:val="004256FB"/>
    <w:rsid w:val="00426616"/>
    <w:rsid w:val="0042686B"/>
    <w:rsid w:val="004268A6"/>
    <w:rsid w:val="00426EC9"/>
    <w:rsid w:val="00427292"/>
    <w:rsid w:val="00427343"/>
    <w:rsid w:val="0042751A"/>
    <w:rsid w:val="004277B7"/>
    <w:rsid w:val="00427A65"/>
    <w:rsid w:val="00427B5C"/>
    <w:rsid w:val="00427D8F"/>
    <w:rsid w:val="00427F91"/>
    <w:rsid w:val="00430218"/>
    <w:rsid w:val="00431367"/>
    <w:rsid w:val="00431390"/>
    <w:rsid w:val="004315D8"/>
    <w:rsid w:val="00431B82"/>
    <w:rsid w:val="00431C87"/>
    <w:rsid w:val="00431DF9"/>
    <w:rsid w:val="00432131"/>
    <w:rsid w:val="004322DE"/>
    <w:rsid w:val="0043259C"/>
    <w:rsid w:val="0043266F"/>
    <w:rsid w:val="00432956"/>
    <w:rsid w:val="00432A50"/>
    <w:rsid w:val="00433C28"/>
    <w:rsid w:val="00433F36"/>
    <w:rsid w:val="00434110"/>
    <w:rsid w:val="004341BD"/>
    <w:rsid w:val="0043456E"/>
    <w:rsid w:val="00434620"/>
    <w:rsid w:val="004346FB"/>
    <w:rsid w:val="00434791"/>
    <w:rsid w:val="00434C88"/>
    <w:rsid w:val="00434C89"/>
    <w:rsid w:val="00434C91"/>
    <w:rsid w:val="004353C7"/>
    <w:rsid w:val="0043555C"/>
    <w:rsid w:val="00435A55"/>
    <w:rsid w:val="00435D24"/>
    <w:rsid w:val="00435D34"/>
    <w:rsid w:val="00435DF5"/>
    <w:rsid w:val="00436423"/>
    <w:rsid w:val="004372B6"/>
    <w:rsid w:val="004373AA"/>
    <w:rsid w:val="004379F2"/>
    <w:rsid w:val="0044020E"/>
    <w:rsid w:val="004404BB"/>
    <w:rsid w:val="0044106F"/>
    <w:rsid w:val="004410E2"/>
    <w:rsid w:val="004415CD"/>
    <w:rsid w:val="00441623"/>
    <w:rsid w:val="004416EF"/>
    <w:rsid w:val="00441C98"/>
    <w:rsid w:val="00441D1A"/>
    <w:rsid w:val="00442469"/>
    <w:rsid w:val="004428FA"/>
    <w:rsid w:val="00443008"/>
    <w:rsid w:val="004432B1"/>
    <w:rsid w:val="004432C9"/>
    <w:rsid w:val="00443697"/>
    <w:rsid w:val="004439E7"/>
    <w:rsid w:val="00443ADC"/>
    <w:rsid w:val="00443CF9"/>
    <w:rsid w:val="00443E38"/>
    <w:rsid w:val="00444122"/>
    <w:rsid w:val="0044491F"/>
    <w:rsid w:val="00444934"/>
    <w:rsid w:val="00444B1B"/>
    <w:rsid w:val="00444DC0"/>
    <w:rsid w:val="00445DD2"/>
    <w:rsid w:val="00445E62"/>
    <w:rsid w:val="004461B0"/>
    <w:rsid w:val="004472A6"/>
    <w:rsid w:val="004474C9"/>
    <w:rsid w:val="004500E0"/>
    <w:rsid w:val="00450518"/>
    <w:rsid w:val="00450732"/>
    <w:rsid w:val="00450A95"/>
    <w:rsid w:val="00450AD6"/>
    <w:rsid w:val="00450FFB"/>
    <w:rsid w:val="00451672"/>
    <w:rsid w:val="00451F38"/>
    <w:rsid w:val="00452418"/>
    <w:rsid w:val="00452B08"/>
    <w:rsid w:val="00453A74"/>
    <w:rsid w:val="00453A89"/>
    <w:rsid w:val="00453CFD"/>
    <w:rsid w:val="00453D8C"/>
    <w:rsid w:val="00453E30"/>
    <w:rsid w:val="00454149"/>
    <w:rsid w:val="004543CE"/>
    <w:rsid w:val="004544C5"/>
    <w:rsid w:val="0045488B"/>
    <w:rsid w:val="004549FD"/>
    <w:rsid w:val="00454C14"/>
    <w:rsid w:val="00454D77"/>
    <w:rsid w:val="00454FD6"/>
    <w:rsid w:val="00455727"/>
    <w:rsid w:val="00455951"/>
    <w:rsid w:val="00455ACE"/>
    <w:rsid w:val="00455E1F"/>
    <w:rsid w:val="00455ECD"/>
    <w:rsid w:val="00456097"/>
    <w:rsid w:val="0045640B"/>
    <w:rsid w:val="0045648F"/>
    <w:rsid w:val="00456770"/>
    <w:rsid w:val="00456E43"/>
    <w:rsid w:val="00456E4F"/>
    <w:rsid w:val="00457023"/>
    <w:rsid w:val="00457859"/>
    <w:rsid w:val="00457A53"/>
    <w:rsid w:val="00457E05"/>
    <w:rsid w:val="004604EB"/>
    <w:rsid w:val="00460644"/>
    <w:rsid w:val="00461108"/>
    <w:rsid w:val="00461521"/>
    <w:rsid w:val="00461A1C"/>
    <w:rsid w:val="00461BE5"/>
    <w:rsid w:val="0046208B"/>
    <w:rsid w:val="00462257"/>
    <w:rsid w:val="00462793"/>
    <w:rsid w:val="00462809"/>
    <w:rsid w:val="00462A6B"/>
    <w:rsid w:val="00462AD1"/>
    <w:rsid w:val="00462B1B"/>
    <w:rsid w:val="00462E6D"/>
    <w:rsid w:val="00463726"/>
    <w:rsid w:val="00463962"/>
    <w:rsid w:val="00463EA9"/>
    <w:rsid w:val="00463FDA"/>
    <w:rsid w:val="00464A0C"/>
    <w:rsid w:val="00464C09"/>
    <w:rsid w:val="00464D2F"/>
    <w:rsid w:val="00464D3E"/>
    <w:rsid w:val="00464D44"/>
    <w:rsid w:val="00464EDC"/>
    <w:rsid w:val="00465046"/>
    <w:rsid w:val="00465635"/>
    <w:rsid w:val="004659D3"/>
    <w:rsid w:val="00465D74"/>
    <w:rsid w:val="00466006"/>
    <w:rsid w:val="0046656B"/>
    <w:rsid w:val="00466BDF"/>
    <w:rsid w:val="00466DE0"/>
    <w:rsid w:val="00466FD1"/>
    <w:rsid w:val="0046763B"/>
    <w:rsid w:val="00467870"/>
    <w:rsid w:val="004679D1"/>
    <w:rsid w:val="00467A17"/>
    <w:rsid w:val="00467AAF"/>
    <w:rsid w:val="00467B4B"/>
    <w:rsid w:val="00467FF2"/>
    <w:rsid w:val="004701E3"/>
    <w:rsid w:val="004704F6"/>
    <w:rsid w:val="004708DF"/>
    <w:rsid w:val="0047135A"/>
    <w:rsid w:val="004713C8"/>
    <w:rsid w:val="0047152B"/>
    <w:rsid w:val="00471757"/>
    <w:rsid w:val="0047181C"/>
    <w:rsid w:val="0047187C"/>
    <w:rsid w:val="00471DE7"/>
    <w:rsid w:val="00471E9C"/>
    <w:rsid w:val="00472327"/>
    <w:rsid w:val="004723F6"/>
    <w:rsid w:val="00472518"/>
    <w:rsid w:val="00472EFD"/>
    <w:rsid w:val="00472FA8"/>
    <w:rsid w:val="0047314A"/>
    <w:rsid w:val="00473D84"/>
    <w:rsid w:val="004740BA"/>
    <w:rsid w:val="00475286"/>
    <w:rsid w:val="004756D6"/>
    <w:rsid w:val="00475E36"/>
    <w:rsid w:val="00476260"/>
    <w:rsid w:val="004767E4"/>
    <w:rsid w:val="00476881"/>
    <w:rsid w:val="004769AB"/>
    <w:rsid w:val="00476FC0"/>
    <w:rsid w:val="00477620"/>
    <w:rsid w:val="00477C18"/>
    <w:rsid w:val="004801F9"/>
    <w:rsid w:val="0048020A"/>
    <w:rsid w:val="00480562"/>
    <w:rsid w:val="00480F3A"/>
    <w:rsid w:val="004814D8"/>
    <w:rsid w:val="0048174E"/>
    <w:rsid w:val="00481774"/>
    <w:rsid w:val="00481F4C"/>
    <w:rsid w:val="00482444"/>
    <w:rsid w:val="00482AE0"/>
    <w:rsid w:val="00482C1C"/>
    <w:rsid w:val="00482D55"/>
    <w:rsid w:val="004830B1"/>
    <w:rsid w:val="004834C3"/>
    <w:rsid w:val="0048361A"/>
    <w:rsid w:val="0048366D"/>
    <w:rsid w:val="0048375B"/>
    <w:rsid w:val="0048382A"/>
    <w:rsid w:val="00483C60"/>
    <w:rsid w:val="00483D16"/>
    <w:rsid w:val="0048408A"/>
    <w:rsid w:val="00484161"/>
    <w:rsid w:val="004844BC"/>
    <w:rsid w:val="0048468A"/>
    <w:rsid w:val="00484C83"/>
    <w:rsid w:val="00484FF2"/>
    <w:rsid w:val="00485564"/>
    <w:rsid w:val="00485A18"/>
    <w:rsid w:val="004863B8"/>
    <w:rsid w:val="00486567"/>
    <w:rsid w:val="00486BBC"/>
    <w:rsid w:val="00486F0D"/>
    <w:rsid w:val="00487010"/>
    <w:rsid w:val="00487914"/>
    <w:rsid w:val="00487B8B"/>
    <w:rsid w:val="00487DB1"/>
    <w:rsid w:val="00490992"/>
    <w:rsid w:val="00490DE2"/>
    <w:rsid w:val="004910C7"/>
    <w:rsid w:val="00491359"/>
    <w:rsid w:val="00491384"/>
    <w:rsid w:val="004914E6"/>
    <w:rsid w:val="004916F6"/>
    <w:rsid w:val="0049170D"/>
    <w:rsid w:val="004918DF"/>
    <w:rsid w:val="00491FDF"/>
    <w:rsid w:val="004922F6"/>
    <w:rsid w:val="0049269D"/>
    <w:rsid w:val="00492BA4"/>
    <w:rsid w:val="00492F65"/>
    <w:rsid w:val="004935A1"/>
    <w:rsid w:val="004937B1"/>
    <w:rsid w:val="00493A55"/>
    <w:rsid w:val="0049460C"/>
    <w:rsid w:val="00494AB7"/>
    <w:rsid w:val="00494DB9"/>
    <w:rsid w:val="00495094"/>
    <w:rsid w:val="00495495"/>
    <w:rsid w:val="00495A47"/>
    <w:rsid w:val="004964E7"/>
    <w:rsid w:val="00496695"/>
    <w:rsid w:val="0049692E"/>
    <w:rsid w:val="0049709F"/>
    <w:rsid w:val="00497B5A"/>
    <w:rsid w:val="00497D5B"/>
    <w:rsid w:val="00497F1A"/>
    <w:rsid w:val="004A00AD"/>
    <w:rsid w:val="004A0311"/>
    <w:rsid w:val="004A08CC"/>
    <w:rsid w:val="004A0908"/>
    <w:rsid w:val="004A11F3"/>
    <w:rsid w:val="004A1746"/>
    <w:rsid w:val="004A1C7C"/>
    <w:rsid w:val="004A2882"/>
    <w:rsid w:val="004A343D"/>
    <w:rsid w:val="004A34B8"/>
    <w:rsid w:val="004A3BEA"/>
    <w:rsid w:val="004A3CF0"/>
    <w:rsid w:val="004A3D29"/>
    <w:rsid w:val="004A3EBC"/>
    <w:rsid w:val="004A42CC"/>
    <w:rsid w:val="004A431F"/>
    <w:rsid w:val="004A4723"/>
    <w:rsid w:val="004A4759"/>
    <w:rsid w:val="004A4850"/>
    <w:rsid w:val="004A4940"/>
    <w:rsid w:val="004A4D50"/>
    <w:rsid w:val="004A5240"/>
    <w:rsid w:val="004A5E53"/>
    <w:rsid w:val="004A6386"/>
    <w:rsid w:val="004A63C8"/>
    <w:rsid w:val="004A646F"/>
    <w:rsid w:val="004A66E4"/>
    <w:rsid w:val="004A676B"/>
    <w:rsid w:val="004A6A66"/>
    <w:rsid w:val="004A6CEC"/>
    <w:rsid w:val="004A6D59"/>
    <w:rsid w:val="004A6D9B"/>
    <w:rsid w:val="004A7673"/>
    <w:rsid w:val="004A7C48"/>
    <w:rsid w:val="004A7CE0"/>
    <w:rsid w:val="004B0662"/>
    <w:rsid w:val="004B0C04"/>
    <w:rsid w:val="004B0D97"/>
    <w:rsid w:val="004B1616"/>
    <w:rsid w:val="004B1631"/>
    <w:rsid w:val="004B19A3"/>
    <w:rsid w:val="004B1A9D"/>
    <w:rsid w:val="004B1C70"/>
    <w:rsid w:val="004B1EC7"/>
    <w:rsid w:val="004B259E"/>
    <w:rsid w:val="004B2A02"/>
    <w:rsid w:val="004B2BA7"/>
    <w:rsid w:val="004B2FA3"/>
    <w:rsid w:val="004B34A0"/>
    <w:rsid w:val="004B35E5"/>
    <w:rsid w:val="004B3A5C"/>
    <w:rsid w:val="004B3CFB"/>
    <w:rsid w:val="004B42C8"/>
    <w:rsid w:val="004B4AF4"/>
    <w:rsid w:val="004B4B21"/>
    <w:rsid w:val="004B5070"/>
    <w:rsid w:val="004B5087"/>
    <w:rsid w:val="004B566D"/>
    <w:rsid w:val="004B5749"/>
    <w:rsid w:val="004B59E5"/>
    <w:rsid w:val="004B59F5"/>
    <w:rsid w:val="004B5AF9"/>
    <w:rsid w:val="004B6444"/>
    <w:rsid w:val="004B6501"/>
    <w:rsid w:val="004B684B"/>
    <w:rsid w:val="004B688B"/>
    <w:rsid w:val="004B68F0"/>
    <w:rsid w:val="004B6D0A"/>
    <w:rsid w:val="004B6EF8"/>
    <w:rsid w:val="004B7F16"/>
    <w:rsid w:val="004C0144"/>
    <w:rsid w:val="004C0DDC"/>
    <w:rsid w:val="004C145D"/>
    <w:rsid w:val="004C15CD"/>
    <w:rsid w:val="004C18D5"/>
    <w:rsid w:val="004C1D43"/>
    <w:rsid w:val="004C1DF4"/>
    <w:rsid w:val="004C2007"/>
    <w:rsid w:val="004C20CF"/>
    <w:rsid w:val="004C28D2"/>
    <w:rsid w:val="004C307F"/>
    <w:rsid w:val="004C3473"/>
    <w:rsid w:val="004C3D73"/>
    <w:rsid w:val="004C43DE"/>
    <w:rsid w:val="004C44FB"/>
    <w:rsid w:val="004C4E76"/>
    <w:rsid w:val="004C514E"/>
    <w:rsid w:val="004C5215"/>
    <w:rsid w:val="004C5DED"/>
    <w:rsid w:val="004C63F8"/>
    <w:rsid w:val="004C65D2"/>
    <w:rsid w:val="004C662B"/>
    <w:rsid w:val="004C7371"/>
    <w:rsid w:val="004C7672"/>
    <w:rsid w:val="004C79B0"/>
    <w:rsid w:val="004C7A2A"/>
    <w:rsid w:val="004C7F6F"/>
    <w:rsid w:val="004D020E"/>
    <w:rsid w:val="004D04B5"/>
    <w:rsid w:val="004D094D"/>
    <w:rsid w:val="004D0A47"/>
    <w:rsid w:val="004D0A6E"/>
    <w:rsid w:val="004D0C78"/>
    <w:rsid w:val="004D0FD0"/>
    <w:rsid w:val="004D10F7"/>
    <w:rsid w:val="004D16A2"/>
    <w:rsid w:val="004D1E43"/>
    <w:rsid w:val="004D1FCC"/>
    <w:rsid w:val="004D209F"/>
    <w:rsid w:val="004D21D7"/>
    <w:rsid w:val="004D2248"/>
    <w:rsid w:val="004D24FD"/>
    <w:rsid w:val="004D2501"/>
    <w:rsid w:val="004D26F3"/>
    <w:rsid w:val="004D274B"/>
    <w:rsid w:val="004D2AA3"/>
    <w:rsid w:val="004D2B56"/>
    <w:rsid w:val="004D3064"/>
    <w:rsid w:val="004D3563"/>
    <w:rsid w:val="004D37E7"/>
    <w:rsid w:val="004D431D"/>
    <w:rsid w:val="004D43B7"/>
    <w:rsid w:val="004D4D0E"/>
    <w:rsid w:val="004D4DF7"/>
    <w:rsid w:val="004D5093"/>
    <w:rsid w:val="004D53E7"/>
    <w:rsid w:val="004D5580"/>
    <w:rsid w:val="004D6739"/>
    <w:rsid w:val="004D712B"/>
    <w:rsid w:val="004D723F"/>
    <w:rsid w:val="004E027B"/>
    <w:rsid w:val="004E0736"/>
    <w:rsid w:val="004E0A8C"/>
    <w:rsid w:val="004E0B35"/>
    <w:rsid w:val="004E13D1"/>
    <w:rsid w:val="004E1871"/>
    <w:rsid w:val="004E187A"/>
    <w:rsid w:val="004E1DFB"/>
    <w:rsid w:val="004E2525"/>
    <w:rsid w:val="004E25F1"/>
    <w:rsid w:val="004E2C3A"/>
    <w:rsid w:val="004E34C9"/>
    <w:rsid w:val="004E3A41"/>
    <w:rsid w:val="004E45CE"/>
    <w:rsid w:val="004E46FD"/>
    <w:rsid w:val="004E4CFA"/>
    <w:rsid w:val="004E4E01"/>
    <w:rsid w:val="004E50CC"/>
    <w:rsid w:val="004E5373"/>
    <w:rsid w:val="004E56F1"/>
    <w:rsid w:val="004E5C95"/>
    <w:rsid w:val="004E63BD"/>
    <w:rsid w:val="004E769F"/>
    <w:rsid w:val="004E7B46"/>
    <w:rsid w:val="004F002D"/>
    <w:rsid w:val="004F015A"/>
    <w:rsid w:val="004F0A9E"/>
    <w:rsid w:val="004F0CEC"/>
    <w:rsid w:val="004F0E75"/>
    <w:rsid w:val="004F14CC"/>
    <w:rsid w:val="004F17F6"/>
    <w:rsid w:val="004F1BFF"/>
    <w:rsid w:val="004F1FC0"/>
    <w:rsid w:val="004F21DF"/>
    <w:rsid w:val="004F2259"/>
    <w:rsid w:val="004F27D3"/>
    <w:rsid w:val="004F2D5E"/>
    <w:rsid w:val="004F3435"/>
    <w:rsid w:val="004F3C0C"/>
    <w:rsid w:val="004F3E5F"/>
    <w:rsid w:val="004F4644"/>
    <w:rsid w:val="004F4786"/>
    <w:rsid w:val="004F47AF"/>
    <w:rsid w:val="004F47F4"/>
    <w:rsid w:val="004F499B"/>
    <w:rsid w:val="004F49CB"/>
    <w:rsid w:val="004F4C79"/>
    <w:rsid w:val="004F581C"/>
    <w:rsid w:val="004F5901"/>
    <w:rsid w:val="004F5950"/>
    <w:rsid w:val="004F59F0"/>
    <w:rsid w:val="004F5ED6"/>
    <w:rsid w:val="004F605D"/>
    <w:rsid w:val="004F6C1E"/>
    <w:rsid w:val="004F7029"/>
    <w:rsid w:val="004F7136"/>
    <w:rsid w:val="004F74B6"/>
    <w:rsid w:val="004F7638"/>
    <w:rsid w:val="004F775A"/>
    <w:rsid w:val="004F796C"/>
    <w:rsid w:val="004F7E5A"/>
    <w:rsid w:val="0050039B"/>
    <w:rsid w:val="00500453"/>
    <w:rsid w:val="0050147B"/>
    <w:rsid w:val="00501913"/>
    <w:rsid w:val="00501A69"/>
    <w:rsid w:val="005020AF"/>
    <w:rsid w:val="005024A7"/>
    <w:rsid w:val="00502B83"/>
    <w:rsid w:val="00502BA5"/>
    <w:rsid w:val="00502FE4"/>
    <w:rsid w:val="00503410"/>
    <w:rsid w:val="005034E5"/>
    <w:rsid w:val="005034FC"/>
    <w:rsid w:val="005039E5"/>
    <w:rsid w:val="00503FC4"/>
    <w:rsid w:val="00504216"/>
    <w:rsid w:val="005042DF"/>
    <w:rsid w:val="0050453D"/>
    <w:rsid w:val="0050528A"/>
    <w:rsid w:val="005057C2"/>
    <w:rsid w:val="00505BE5"/>
    <w:rsid w:val="00506292"/>
    <w:rsid w:val="0050636B"/>
    <w:rsid w:val="00506385"/>
    <w:rsid w:val="005069AE"/>
    <w:rsid w:val="00506A4A"/>
    <w:rsid w:val="00506E2C"/>
    <w:rsid w:val="005078F6"/>
    <w:rsid w:val="005078FE"/>
    <w:rsid w:val="00507C01"/>
    <w:rsid w:val="00507E25"/>
    <w:rsid w:val="00510438"/>
    <w:rsid w:val="005105A9"/>
    <w:rsid w:val="005105EF"/>
    <w:rsid w:val="00510B06"/>
    <w:rsid w:val="00510DB0"/>
    <w:rsid w:val="00510DE2"/>
    <w:rsid w:val="00510EDD"/>
    <w:rsid w:val="0051103A"/>
    <w:rsid w:val="0051103E"/>
    <w:rsid w:val="005110E5"/>
    <w:rsid w:val="00511289"/>
    <w:rsid w:val="00511F25"/>
    <w:rsid w:val="0051274A"/>
    <w:rsid w:val="00513CD7"/>
    <w:rsid w:val="00513D27"/>
    <w:rsid w:val="00514917"/>
    <w:rsid w:val="00514E1F"/>
    <w:rsid w:val="00515353"/>
    <w:rsid w:val="005153C3"/>
    <w:rsid w:val="00515447"/>
    <w:rsid w:val="005154B8"/>
    <w:rsid w:val="00515AA6"/>
    <w:rsid w:val="005161BC"/>
    <w:rsid w:val="0051645C"/>
    <w:rsid w:val="00516557"/>
    <w:rsid w:val="00516F20"/>
    <w:rsid w:val="00517040"/>
    <w:rsid w:val="0051722D"/>
    <w:rsid w:val="0051729B"/>
    <w:rsid w:val="0051774B"/>
    <w:rsid w:val="005177C7"/>
    <w:rsid w:val="00517930"/>
    <w:rsid w:val="00517BE0"/>
    <w:rsid w:val="005203E2"/>
    <w:rsid w:val="0052048B"/>
    <w:rsid w:val="0052160D"/>
    <w:rsid w:val="0052231F"/>
    <w:rsid w:val="00522922"/>
    <w:rsid w:val="005229D1"/>
    <w:rsid w:val="00522DF8"/>
    <w:rsid w:val="00523A3C"/>
    <w:rsid w:val="00523B1C"/>
    <w:rsid w:val="00523E46"/>
    <w:rsid w:val="00523FEF"/>
    <w:rsid w:val="0052402E"/>
    <w:rsid w:val="005240DF"/>
    <w:rsid w:val="005240FD"/>
    <w:rsid w:val="005246E4"/>
    <w:rsid w:val="00524773"/>
    <w:rsid w:val="00525084"/>
    <w:rsid w:val="00525515"/>
    <w:rsid w:val="005256F6"/>
    <w:rsid w:val="00525A33"/>
    <w:rsid w:val="00525ACA"/>
    <w:rsid w:val="00525C1C"/>
    <w:rsid w:val="0052697A"/>
    <w:rsid w:val="00526A7C"/>
    <w:rsid w:val="00526B29"/>
    <w:rsid w:val="00526DC7"/>
    <w:rsid w:val="00526F4F"/>
    <w:rsid w:val="0052711A"/>
    <w:rsid w:val="00527495"/>
    <w:rsid w:val="00527611"/>
    <w:rsid w:val="00530918"/>
    <w:rsid w:val="00530B8B"/>
    <w:rsid w:val="00530C6C"/>
    <w:rsid w:val="00530DD2"/>
    <w:rsid w:val="005310A3"/>
    <w:rsid w:val="0053139A"/>
    <w:rsid w:val="00531404"/>
    <w:rsid w:val="0053195E"/>
    <w:rsid w:val="00531B26"/>
    <w:rsid w:val="00531EA0"/>
    <w:rsid w:val="005323B5"/>
    <w:rsid w:val="0053243B"/>
    <w:rsid w:val="00532A5C"/>
    <w:rsid w:val="00532D71"/>
    <w:rsid w:val="00532F13"/>
    <w:rsid w:val="00533364"/>
    <w:rsid w:val="0053374D"/>
    <w:rsid w:val="00533AD6"/>
    <w:rsid w:val="00533D4B"/>
    <w:rsid w:val="00533FD0"/>
    <w:rsid w:val="005342CB"/>
    <w:rsid w:val="00534741"/>
    <w:rsid w:val="0053474D"/>
    <w:rsid w:val="00535222"/>
    <w:rsid w:val="0053539F"/>
    <w:rsid w:val="00535660"/>
    <w:rsid w:val="0053599E"/>
    <w:rsid w:val="00535DE4"/>
    <w:rsid w:val="00536303"/>
    <w:rsid w:val="00536463"/>
    <w:rsid w:val="00536C0D"/>
    <w:rsid w:val="00536C8D"/>
    <w:rsid w:val="00537107"/>
    <w:rsid w:val="0053763E"/>
    <w:rsid w:val="005406E0"/>
    <w:rsid w:val="00541152"/>
    <w:rsid w:val="00541D15"/>
    <w:rsid w:val="00541D31"/>
    <w:rsid w:val="005425CD"/>
    <w:rsid w:val="00542B01"/>
    <w:rsid w:val="00542E74"/>
    <w:rsid w:val="005431C9"/>
    <w:rsid w:val="005437B7"/>
    <w:rsid w:val="0054411F"/>
    <w:rsid w:val="00544333"/>
    <w:rsid w:val="005444F1"/>
    <w:rsid w:val="00544565"/>
    <w:rsid w:val="0054461E"/>
    <w:rsid w:val="00544AA2"/>
    <w:rsid w:val="00544ACB"/>
    <w:rsid w:val="00544DF4"/>
    <w:rsid w:val="00545568"/>
    <w:rsid w:val="00545AE8"/>
    <w:rsid w:val="00545C03"/>
    <w:rsid w:val="0054661F"/>
    <w:rsid w:val="005468BA"/>
    <w:rsid w:val="00546F6C"/>
    <w:rsid w:val="00547038"/>
    <w:rsid w:val="00547398"/>
    <w:rsid w:val="00547529"/>
    <w:rsid w:val="00550014"/>
    <w:rsid w:val="005500E4"/>
    <w:rsid w:val="0055089E"/>
    <w:rsid w:val="00550A98"/>
    <w:rsid w:val="00550B04"/>
    <w:rsid w:val="00550BAC"/>
    <w:rsid w:val="00550C60"/>
    <w:rsid w:val="00551A8A"/>
    <w:rsid w:val="00552344"/>
    <w:rsid w:val="005526F9"/>
    <w:rsid w:val="0055272E"/>
    <w:rsid w:val="00553897"/>
    <w:rsid w:val="00553995"/>
    <w:rsid w:val="00553A34"/>
    <w:rsid w:val="00554020"/>
    <w:rsid w:val="00554295"/>
    <w:rsid w:val="005545BA"/>
    <w:rsid w:val="00554A4B"/>
    <w:rsid w:val="00554C4D"/>
    <w:rsid w:val="00554DF4"/>
    <w:rsid w:val="00555056"/>
    <w:rsid w:val="00555212"/>
    <w:rsid w:val="005553C8"/>
    <w:rsid w:val="005554EE"/>
    <w:rsid w:val="0055575A"/>
    <w:rsid w:val="00555D8D"/>
    <w:rsid w:val="00556084"/>
    <w:rsid w:val="005561F8"/>
    <w:rsid w:val="00556556"/>
    <w:rsid w:val="00556BA9"/>
    <w:rsid w:val="00556D24"/>
    <w:rsid w:val="00556DE2"/>
    <w:rsid w:val="00556FEB"/>
    <w:rsid w:val="00557788"/>
    <w:rsid w:val="00557D20"/>
    <w:rsid w:val="00560024"/>
    <w:rsid w:val="0056026D"/>
    <w:rsid w:val="0056033B"/>
    <w:rsid w:val="00560514"/>
    <w:rsid w:val="0056054F"/>
    <w:rsid w:val="005606E7"/>
    <w:rsid w:val="005606E8"/>
    <w:rsid w:val="00560EE0"/>
    <w:rsid w:val="005610F6"/>
    <w:rsid w:val="005615CE"/>
    <w:rsid w:val="00561EA5"/>
    <w:rsid w:val="00561F0F"/>
    <w:rsid w:val="005620F8"/>
    <w:rsid w:val="005621F5"/>
    <w:rsid w:val="00562232"/>
    <w:rsid w:val="0056248A"/>
    <w:rsid w:val="00562983"/>
    <w:rsid w:val="00563133"/>
    <w:rsid w:val="00563962"/>
    <w:rsid w:val="005639BC"/>
    <w:rsid w:val="00563D39"/>
    <w:rsid w:val="00563F4F"/>
    <w:rsid w:val="005641C7"/>
    <w:rsid w:val="005647E8"/>
    <w:rsid w:val="00564CE5"/>
    <w:rsid w:val="005650D4"/>
    <w:rsid w:val="0056587E"/>
    <w:rsid w:val="00565969"/>
    <w:rsid w:val="00565AB8"/>
    <w:rsid w:val="00565C89"/>
    <w:rsid w:val="005661D7"/>
    <w:rsid w:val="005664F4"/>
    <w:rsid w:val="00566794"/>
    <w:rsid w:val="00566F7F"/>
    <w:rsid w:val="005671DB"/>
    <w:rsid w:val="00567219"/>
    <w:rsid w:val="00567377"/>
    <w:rsid w:val="0056768D"/>
    <w:rsid w:val="005678D8"/>
    <w:rsid w:val="00570091"/>
    <w:rsid w:val="00570B18"/>
    <w:rsid w:val="005714DC"/>
    <w:rsid w:val="00571C32"/>
    <w:rsid w:val="00572450"/>
    <w:rsid w:val="0057311F"/>
    <w:rsid w:val="005733BC"/>
    <w:rsid w:val="00573577"/>
    <w:rsid w:val="00573841"/>
    <w:rsid w:val="00574EDA"/>
    <w:rsid w:val="00575771"/>
    <w:rsid w:val="0057627B"/>
    <w:rsid w:val="005763B9"/>
    <w:rsid w:val="00576410"/>
    <w:rsid w:val="005764FF"/>
    <w:rsid w:val="0057689A"/>
    <w:rsid w:val="00576AA3"/>
    <w:rsid w:val="005774BB"/>
    <w:rsid w:val="00577933"/>
    <w:rsid w:val="00577B7E"/>
    <w:rsid w:val="00577BFE"/>
    <w:rsid w:val="005801D3"/>
    <w:rsid w:val="005803B5"/>
    <w:rsid w:val="00580664"/>
    <w:rsid w:val="005806CD"/>
    <w:rsid w:val="00580A99"/>
    <w:rsid w:val="00580ABD"/>
    <w:rsid w:val="00580ACA"/>
    <w:rsid w:val="00581190"/>
    <w:rsid w:val="00581342"/>
    <w:rsid w:val="0058140B"/>
    <w:rsid w:val="005815F2"/>
    <w:rsid w:val="00581912"/>
    <w:rsid w:val="005819E0"/>
    <w:rsid w:val="00581E24"/>
    <w:rsid w:val="00582110"/>
    <w:rsid w:val="005831C6"/>
    <w:rsid w:val="0058367F"/>
    <w:rsid w:val="005839FB"/>
    <w:rsid w:val="00584198"/>
    <w:rsid w:val="00584698"/>
    <w:rsid w:val="005846F9"/>
    <w:rsid w:val="00584941"/>
    <w:rsid w:val="00584ADA"/>
    <w:rsid w:val="00584CAD"/>
    <w:rsid w:val="00584D33"/>
    <w:rsid w:val="00584D7C"/>
    <w:rsid w:val="00584E1A"/>
    <w:rsid w:val="0058532A"/>
    <w:rsid w:val="005858FE"/>
    <w:rsid w:val="005859AB"/>
    <w:rsid w:val="00586207"/>
    <w:rsid w:val="0058680D"/>
    <w:rsid w:val="00587238"/>
    <w:rsid w:val="005874CC"/>
    <w:rsid w:val="00587C05"/>
    <w:rsid w:val="00587E1E"/>
    <w:rsid w:val="00590072"/>
    <w:rsid w:val="00590536"/>
    <w:rsid w:val="00590598"/>
    <w:rsid w:val="00590838"/>
    <w:rsid w:val="00590959"/>
    <w:rsid w:val="00590B6B"/>
    <w:rsid w:val="00591276"/>
    <w:rsid w:val="005912C5"/>
    <w:rsid w:val="005914E2"/>
    <w:rsid w:val="00591550"/>
    <w:rsid w:val="00591635"/>
    <w:rsid w:val="00591A0D"/>
    <w:rsid w:val="00591D4B"/>
    <w:rsid w:val="00591E1F"/>
    <w:rsid w:val="00591F52"/>
    <w:rsid w:val="00591FAF"/>
    <w:rsid w:val="005922CB"/>
    <w:rsid w:val="005926CE"/>
    <w:rsid w:val="00592C30"/>
    <w:rsid w:val="00593301"/>
    <w:rsid w:val="0059407C"/>
    <w:rsid w:val="005942C4"/>
    <w:rsid w:val="00594998"/>
    <w:rsid w:val="00594C9C"/>
    <w:rsid w:val="00594D73"/>
    <w:rsid w:val="00594E0A"/>
    <w:rsid w:val="00595BC8"/>
    <w:rsid w:val="00596B22"/>
    <w:rsid w:val="00596B9F"/>
    <w:rsid w:val="00596DBA"/>
    <w:rsid w:val="00597506"/>
    <w:rsid w:val="005975ED"/>
    <w:rsid w:val="005A025B"/>
    <w:rsid w:val="005A046E"/>
    <w:rsid w:val="005A076B"/>
    <w:rsid w:val="005A0850"/>
    <w:rsid w:val="005A0892"/>
    <w:rsid w:val="005A0FFF"/>
    <w:rsid w:val="005A10FB"/>
    <w:rsid w:val="005A12ED"/>
    <w:rsid w:val="005A1577"/>
    <w:rsid w:val="005A1A01"/>
    <w:rsid w:val="005A1A39"/>
    <w:rsid w:val="005A1B7C"/>
    <w:rsid w:val="005A1BB7"/>
    <w:rsid w:val="005A2374"/>
    <w:rsid w:val="005A2DA1"/>
    <w:rsid w:val="005A2FB6"/>
    <w:rsid w:val="005A3328"/>
    <w:rsid w:val="005A36E6"/>
    <w:rsid w:val="005A3994"/>
    <w:rsid w:val="005A39D4"/>
    <w:rsid w:val="005A3DCA"/>
    <w:rsid w:val="005A3FB4"/>
    <w:rsid w:val="005A4458"/>
    <w:rsid w:val="005A453E"/>
    <w:rsid w:val="005A4781"/>
    <w:rsid w:val="005A4DE9"/>
    <w:rsid w:val="005A4EDC"/>
    <w:rsid w:val="005A5D3B"/>
    <w:rsid w:val="005A67A2"/>
    <w:rsid w:val="005A6FB2"/>
    <w:rsid w:val="005A71B6"/>
    <w:rsid w:val="005A7727"/>
    <w:rsid w:val="005A78DD"/>
    <w:rsid w:val="005B07B9"/>
    <w:rsid w:val="005B07C3"/>
    <w:rsid w:val="005B07DC"/>
    <w:rsid w:val="005B086E"/>
    <w:rsid w:val="005B090C"/>
    <w:rsid w:val="005B18FD"/>
    <w:rsid w:val="005B1962"/>
    <w:rsid w:val="005B1DF4"/>
    <w:rsid w:val="005B218C"/>
    <w:rsid w:val="005B249A"/>
    <w:rsid w:val="005B263E"/>
    <w:rsid w:val="005B271C"/>
    <w:rsid w:val="005B2898"/>
    <w:rsid w:val="005B2BE3"/>
    <w:rsid w:val="005B3F82"/>
    <w:rsid w:val="005B4095"/>
    <w:rsid w:val="005B40C5"/>
    <w:rsid w:val="005B4925"/>
    <w:rsid w:val="005B4E73"/>
    <w:rsid w:val="005B53EB"/>
    <w:rsid w:val="005B5540"/>
    <w:rsid w:val="005B57D0"/>
    <w:rsid w:val="005B59EE"/>
    <w:rsid w:val="005B5E0D"/>
    <w:rsid w:val="005B6017"/>
    <w:rsid w:val="005B6CA9"/>
    <w:rsid w:val="005B73A7"/>
    <w:rsid w:val="005B75E6"/>
    <w:rsid w:val="005B7DD6"/>
    <w:rsid w:val="005C0175"/>
    <w:rsid w:val="005C039C"/>
    <w:rsid w:val="005C049D"/>
    <w:rsid w:val="005C0A2E"/>
    <w:rsid w:val="005C0B42"/>
    <w:rsid w:val="005C0FF2"/>
    <w:rsid w:val="005C1A06"/>
    <w:rsid w:val="005C1B71"/>
    <w:rsid w:val="005C1BCB"/>
    <w:rsid w:val="005C1C73"/>
    <w:rsid w:val="005C1ECB"/>
    <w:rsid w:val="005C219F"/>
    <w:rsid w:val="005C25DF"/>
    <w:rsid w:val="005C26F4"/>
    <w:rsid w:val="005C2CF8"/>
    <w:rsid w:val="005C3046"/>
    <w:rsid w:val="005C3138"/>
    <w:rsid w:val="005C32F2"/>
    <w:rsid w:val="005C36EC"/>
    <w:rsid w:val="005C3999"/>
    <w:rsid w:val="005C3D6C"/>
    <w:rsid w:val="005C40C7"/>
    <w:rsid w:val="005C42E8"/>
    <w:rsid w:val="005C46A5"/>
    <w:rsid w:val="005C49D3"/>
    <w:rsid w:val="005C4D88"/>
    <w:rsid w:val="005C53B1"/>
    <w:rsid w:val="005C5B98"/>
    <w:rsid w:val="005C67C7"/>
    <w:rsid w:val="005C6BF5"/>
    <w:rsid w:val="005C6C88"/>
    <w:rsid w:val="005C6D3B"/>
    <w:rsid w:val="005C7160"/>
    <w:rsid w:val="005C7BEB"/>
    <w:rsid w:val="005C7D1D"/>
    <w:rsid w:val="005D01A5"/>
    <w:rsid w:val="005D021D"/>
    <w:rsid w:val="005D0713"/>
    <w:rsid w:val="005D073B"/>
    <w:rsid w:val="005D08C7"/>
    <w:rsid w:val="005D0B9E"/>
    <w:rsid w:val="005D1957"/>
    <w:rsid w:val="005D1A12"/>
    <w:rsid w:val="005D24BB"/>
    <w:rsid w:val="005D24BE"/>
    <w:rsid w:val="005D2C78"/>
    <w:rsid w:val="005D2E99"/>
    <w:rsid w:val="005D2FE1"/>
    <w:rsid w:val="005D4865"/>
    <w:rsid w:val="005D51D7"/>
    <w:rsid w:val="005D5654"/>
    <w:rsid w:val="005D5A5C"/>
    <w:rsid w:val="005D5AB8"/>
    <w:rsid w:val="005D632D"/>
    <w:rsid w:val="005D684F"/>
    <w:rsid w:val="005D6859"/>
    <w:rsid w:val="005D705E"/>
    <w:rsid w:val="005D714C"/>
    <w:rsid w:val="005D7F65"/>
    <w:rsid w:val="005D7F7F"/>
    <w:rsid w:val="005D7FCE"/>
    <w:rsid w:val="005E064D"/>
    <w:rsid w:val="005E077C"/>
    <w:rsid w:val="005E07CD"/>
    <w:rsid w:val="005E0966"/>
    <w:rsid w:val="005E097C"/>
    <w:rsid w:val="005E0F42"/>
    <w:rsid w:val="005E10B9"/>
    <w:rsid w:val="005E11DE"/>
    <w:rsid w:val="005E1215"/>
    <w:rsid w:val="005E182B"/>
    <w:rsid w:val="005E1C1C"/>
    <w:rsid w:val="005E1EDD"/>
    <w:rsid w:val="005E2D29"/>
    <w:rsid w:val="005E32A6"/>
    <w:rsid w:val="005E37B9"/>
    <w:rsid w:val="005E38F2"/>
    <w:rsid w:val="005E482D"/>
    <w:rsid w:val="005E4844"/>
    <w:rsid w:val="005E4893"/>
    <w:rsid w:val="005E51D6"/>
    <w:rsid w:val="005E53A9"/>
    <w:rsid w:val="005E566D"/>
    <w:rsid w:val="005E56AC"/>
    <w:rsid w:val="005E5AE4"/>
    <w:rsid w:val="005E612F"/>
    <w:rsid w:val="005E6223"/>
    <w:rsid w:val="005E6773"/>
    <w:rsid w:val="005E6973"/>
    <w:rsid w:val="005F011E"/>
    <w:rsid w:val="005F0272"/>
    <w:rsid w:val="005F0A98"/>
    <w:rsid w:val="005F0AF4"/>
    <w:rsid w:val="005F0C8B"/>
    <w:rsid w:val="005F19B2"/>
    <w:rsid w:val="005F1A9A"/>
    <w:rsid w:val="005F1FF3"/>
    <w:rsid w:val="005F2144"/>
    <w:rsid w:val="005F231B"/>
    <w:rsid w:val="005F2A55"/>
    <w:rsid w:val="005F2D0B"/>
    <w:rsid w:val="005F2D34"/>
    <w:rsid w:val="005F3013"/>
    <w:rsid w:val="005F350C"/>
    <w:rsid w:val="005F39A1"/>
    <w:rsid w:val="005F3A8E"/>
    <w:rsid w:val="005F3D10"/>
    <w:rsid w:val="005F3FD2"/>
    <w:rsid w:val="005F42D4"/>
    <w:rsid w:val="005F4A7D"/>
    <w:rsid w:val="005F5292"/>
    <w:rsid w:val="005F5575"/>
    <w:rsid w:val="005F56E4"/>
    <w:rsid w:val="005F5DFD"/>
    <w:rsid w:val="005F5E25"/>
    <w:rsid w:val="005F60FC"/>
    <w:rsid w:val="005F66F6"/>
    <w:rsid w:val="005F6852"/>
    <w:rsid w:val="005F6D29"/>
    <w:rsid w:val="005F6F5F"/>
    <w:rsid w:val="005F78E3"/>
    <w:rsid w:val="005F7DAF"/>
    <w:rsid w:val="005F7EE3"/>
    <w:rsid w:val="0060000A"/>
    <w:rsid w:val="00600125"/>
    <w:rsid w:val="006002F9"/>
    <w:rsid w:val="0060036E"/>
    <w:rsid w:val="00600429"/>
    <w:rsid w:val="0060098A"/>
    <w:rsid w:val="006010D6"/>
    <w:rsid w:val="0060141F"/>
    <w:rsid w:val="00601795"/>
    <w:rsid w:val="00601845"/>
    <w:rsid w:val="00601CA0"/>
    <w:rsid w:val="00601DAB"/>
    <w:rsid w:val="0060272E"/>
    <w:rsid w:val="00602EC0"/>
    <w:rsid w:val="0060365E"/>
    <w:rsid w:val="00603998"/>
    <w:rsid w:val="006039BF"/>
    <w:rsid w:val="00603A55"/>
    <w:rsid w:val="00603C0D"/>
    <w:rsid w:val="0060418F"/>
    <w:rsid w:val="006045CE"/>
    <w:rsid w:val="00604ECE"/>
    <w:rsid w:val="006051E8"/>
    <w:rsid w:val="006056AA"/>
    <w:rsid w:val="0060573C"/>
    <w:rsid w:val="006058A6"/>
    <w:rsid w:val="006058AB"/>
    <w:rsid w:val="00606359"/>
    <w:rsid w:val="006065B3"/>
    <w:rsid w:val="00606FC4"/>
    <w:rsid w:val="006071E8"/>
    <w:rsid w:val="0060762E"/>
    <w:rsid w:val="00607921"/>
    <w:rsid w:val="0061017F"/>
    <w:rsid w:val="00610233"/>
    <w:rsid w:val="006110C3"/>
    <w:rsid w:val="006112FF"/>
    <w:rsid w:val="006117B6"/>
    <w:rsid w:val="006120C7"/>
    <w:rsid w:val="00612623"/>
    <w:rsid w:val="00612A8A"/>
    <w:rsid w:val="0061305D"/>
    <w:rsid w:val="006132DD"/>
    <w:rsid w:val="006147AF"/>
    <w:rsid w:val="0061497A"/>
    <w:rsid w:val="00614A07"/>
    <w:rsid w:val="00614B1F"/>
    <w:rsid w:val="00615532"/>
    <w:rsid w:val="0061556C"/>
    <w:rsid w:val="00615637"/>
    <w:rsid w:val="00615707"/>
    <w:rsid w:val="00615728"/>
    <w:rsid w:val="0061599D"/>
    <w:rsid w:val="00615A4E"/>
    <w:rsid w:val="00615BBD"/>
    <w:rsid w:val="00616369"/>
    <w:rsid w:val="00616441"/>
    <w:rsid w:val="00616A2E"/>
    <w:rsid w:val="0061702B"/>
    <w:rsid w:val="006172D1"/>
    <w:rsid w:val="00620267"/>
    <w:rsid w:val="006204DE"/>
    <w:rsid w:val="00620553"/>
    <w:rsid w:val="00620764"/>
    <w:rsid w:val="006209AE"/>
    <w:rsid w:val="00620A6C"/>
    <w:rsid w:val="00620D37"/>
    <w:rsid w:val="00620F28"/>
    <w:rsid w:val="00620F89"/>
    <w:rsid w:val="00621529"/>
    <w:rsid w:val="00621837"/>
    <w:rsid w:val="00621870"/>
    <w:rsid w:val="00621F39"/>
    <w:rsid w:val="00622393"/>
    <w:rsid w:val="00622449"/>
    <w:rsid w:val="006224AE"/>
    <w:rsid w:val="0062251A"/>
    <w:rsid w:val="006225E0"/>
    <w:rsid w:val="0062263C"/>
    <w:rsid w:val="00622BC1"/>
    <w:rsid w:val="006230D4"/>
    <w:rsid w:val="006234B2"/>
    <w:rsid w:val="0062386F"/>
    <w:rsid w:val="006238C6"/>
    <w:rsid w:val="006239B3"/>
    <w:rsid w:val="00623A01"/>
    <w:rsid w:val="00623E47"/>
    <w:rsid w:val="0062494B"/>
    <w:rsid w:val="00624A10"/>
    <w:rsid w:val="00624B06"/>
    <w:rsid w:val="00624EE3"/>
    <w:rsid w:val="0062579E"/>
    <w:rsid w:val="006257B4"/>
    <w:rsid w:val="006259CA"/>
    <w:rsid w:val="00625DDE"/>
    <w:rsid w:val="00626220"/>
    <w:rsid w:val="006269AC"/>
    <w:rsid w:val="00626F5F"/>
    <w:rsid w:val="00627E2E"/>
    <w:rsid w:val="0063078A"/>
    <w:rsid w:val="006309AC"/>
    <w:rsid w:val="00630BCA"/>
    <w:rsid w:val="00630D7D"/>
    <w:rsid w:val="00630E79"/>
    <w:rsid w:val="00630EDD"/>
    <w:rsid w:val="006312BF"/>
    <w:rsid w:val="006319AB"/>
    <w:rsid w:val="006324D1"/>
    <w:rsid w:val="0063269A"/>
    <w:rsid w:val="00632A09"/>
    <w:rsid w:val="00632A62"/>
    <w:rsid w:val="00632A96"/>
    <w:rsid w:val="00632DE0"/>
    <w:rsid w:val="00632FF2"/>
    <w:rsid w:val="00633054"/>
    <w:rsid w:val="006338DC"/>
    <w:rsid w:val="00633C2A"/>
    <w:rsid w:val="00633E3E"/>
    <w:rsid w:val="00633EAD"/>
    <w:rsid w:val="0063449F"/>
    <w:rsid w:val="00634738"/>
    <w:rsid w:val="00634C58"/>
    <w:rsid w:val="00634C5F"/>
    <w:rsid w:val="00634D99"/>
    <w:rsid w:val="00635A1E"/>
    <w:rsid w:val="00635C11"/>
    <w:rsid w:val="006360C6"/>
    <w:rsid w:val="006363DB"/>
    <w:rsid w:val="006367C6"/>
    <w:rsid w:val="00636C13"/>
    <w:rsid w:val="00637026"/>
    <w:rsid w:val="00637445"/>
    <w:rsid w:val="00637B08"/>
    <w:rsid w:val="006414A1"/>
    <w:rsid w:val="00641643"/>
    <w:rsid w:val="00641AE2"/>
    <w:rsid w:val="00641B8C"/>
    <w:rsid w:val="006420FC"/>
    <w:rsid w:val="0064211A"/>
    <w:rsid w:val="00642467"/>
    <w:rsid w:val="0064275E"/>
    <w:rsid w:val="00642982"/>
    <w:rsid w:val="0064391F"/>
    <w:rsid w:val="00643D39"/>
    <w:rsid w:val="00644163"/>
    <w:rsid w:val="00644B9A"/>
    <w:rsid w:val="00645752"/>
    <w:rsid w:val="00645977"/>
    <w:rsid w:val="00645A07"/>
    <w:rsid w:val="00645C90"/>
    <w:rsid w:val="00645D13"/>
    <w:rsid w:val="00645E9A"/>
    <w:rsid w:val="00645FF6"/>
    <w:rsid w:val="006460F1"/>
    <w:rsid w:val="0064693B"/>
    <w:rsid w:val="00646A18"/>
    <w:rsid w:val="00646ACD"/>
    <w:rsid w:val="00646B4D"/>
    <w:rsid w:val="00647574"/>
    <w:rsid w:val="0064768A"/>
    <w:rsid w:val="00647B05"/>
    <w:rsid w:val="00647D63"/>
    <w:rsid w:val="00647DAD"/>
    <w:rsid w:val="00647F31"/>
    <w:rsid w:val="00650C80"/>
    <w:rsid w:val="0065145F"/>
    <w:rsid w:val="006514C2"/>
    <w:rsid w:val="00651CF5"/>
    <w:rsid w:val="00651D4C"/>
    <w:rsid w:val="00651E5D"/>
    <w:rsid w:val="00651E85"/>
    <w:rsid w:val="00652131"/>
    <w:rsid w:val="00652897"/>
    <w:rsid w:val="00652A2D"/>
    <w:rsid w:val="00652BEB"/>
    <w:rsid w:val="006530D0"/>
    <w:rsid w:val="006531E9"/>
    <w:rsid w:val="00653948"/>
    <w:rsid w:val="00654211"/>
    <w:rsid w:val="00654304"/>
    <w:rsid w:val="00654A5F"/>
    <w:rsid w:val="00654E03"/>
    <w:rsid w:val="00655079"/>
    <w:rsid w:val="00655DFE"/>
    <w:rsid w:val="00656506"/>
    <w:rsid w:val="006570A4"/>
    <w:rsid w:val="00660101"/>
    <w:rsid w:val="00660300"/>
    <w:rsid w:val="006604AE"/>
    <w:rsid w:val="00660D0E"/>
    <w:rsid w:val="00660EDD"/>
    <w:rsid w:val="0066185D"/>
    <w:rsid w:val="006620BD"/>
    <w:rsid w:val="006621AF"/>
    <w:rsid w:val="00662278"/>
    <w:rsid w:val="00662DBB"/>
    <w:rsid w:val="0066366E"/>
    <w:rsid w:val="00663B18"/>
    <w:rsid w:val="00663C04"/>
    <w:rsid w:val="00663C7F"/>
    <w:rsid w:val="00664B17"/>
    <w:rsid w:val="00664B34"/>
    <w:rsid w:val="00664D4E"/>
    <w:rsid w:val="006650FA"/>
    <w:rsid w:val="00665462"/>
    <w:rsid w:val="00665880"/>
    <w:rsid w:val="006661C4"/>
    <w:rsid w:val="00666396"/>
    <w:rsid w:val="00666A36"/>
    <w:rsid w:val="00666E9B"/>
    <w:rsid w:val="006675F2"/>
    <w:rsid w:val="00667BC0"/>
    <w:rsid w:val="00667EF1"/>
    <w:rsid w:val="0067032B"/>
    <w:rsid w:val="006703F8"/>
    <w:rsid w:val="006708C9"/>
    <w:rsid w:val="00671EFC"/>
    <w:rsid w:val="00671FFF"/>
    <w:rsid w:val="00672152"/>
    <w:rsid w:val="00672BA9"/>
    <w:rsid w:val="00672ECC"/>
    <w:rsid w:val="00672FBC"/>
    <w:rsid w:val="00673166"/>
    <w:rsid w:val="00673309"/>
    <w:rsid w:val="0067358B"/>
    <w:rsid w:val="00673A8F"/>
    <w:rsid w:val="00673BA3"/>
    <w:rsid w:val="006740EB"/>
    <w:rsid w:val="006743A6"/>
    <w:rsid w:val="006747DF"/>
    <w:rsid w:val="006749A5"/>
    <w:rsid w:val="0067533F"/>
    <w:rsid w:val="0067583C"/>
    <w:rsid w:val="00675959"/>
    <w:rsid w:val="006759E2"/>
    <w:rsid w:val="00675EEE"/>
    <w:rsid w:val="006760EB"/>
    <w:rsid w:val="006761F2"/>
    <w:rsid w:val="006763CE"/>
    <w:rsid w:val="00676884"/>
    <w:rsid w:val="00676962"/>
    <w:rsid w:val="00676D27"/>
    <w:rsid w:val="00676D67"/>
    <w:rsid w:val="00676FAC"/>
    <w:rsid w:val="00677044"/>
    <w:rsid w:val="006773E7"/>
    <w:rsid w:val="00677590"/>
    <w:rsid w:val="00677F9D"/>
    <w:rsid w:val="00677FD1"/>
    <w:rsid w:val="00680794"/>
    <w:rsid w:val="00680875"/>
    <w:rsid w:val="00680E34"/>
    <w:rsid w:val="00680FF4"/>
    <w:rsid w:val="006818BA"/>
    <w:rsid w:val="00681919"/>
    <w:rsid w:val="00681AB4"/>
    <w:rsid w:val="00681B9D"/>
    <w:rsid w:val="00681C1E"/>
    <w:rsid w:val="00681F8A"/>
    <w:rsid w:val="0068224B"/>
    <w:rsid w:val="006827AA"/>
    <w:rsid w:val="006829E0"/>
    <w:rsid w:val="00682C95"/>
    <w:rsid w:val="00682CA3"/>
    <w:rsid w:val="00682CD4"/>
    <w:rsid w:val="00682D80"/>
    <w:rsid w:val="0068309D"/>
    <w:rsid w:val="00683338"/>
    <w:rsid w:val="00683624"/>
    <w:rsid w:val="00683FBF"/>
    <w:rsid w:val="00684943"/>
    <w:rsid w:val="00684945"/>
    <w:rsid w:val="0068512A"/>
    <w:rsid w:val="00685332"/>
    <w:rsid w:val="00685392"/>
    <w:rsid w:val="0068544D"/>
    <w:rsid w:val="0068545A"/>
    <w:rsid w:val="00685894"/>
    <w:rsid w:val="00686812"/>
    <w:rsid w:val="006869AA"/>
    <w:rsid w:val="00686DA6"/>
    <w:rsid w:val="00686EB3"/>
    <w:rsid w:val="006870CD"/>
    <w:rsid w:val="0068730E"/>
    <w:rsid w:val="00687916"/>
    <w:rsid w:val="00687B1E"/>
    <w:rsid w:val="00687D99"/>
    <w:rsid w:val="00687E46"/>
    <w:rsid w:val="00687F09"/>
    <w:rsid w:val="00687FC7"/>
    <w:rsid w:val="0069070F"/>
    <w:rsid w:val="00690AF6"/>
    <w:rsid w:val="00690C4E"/>
    <w:rsid w:val="006915EA"/>
    <w:rsid w:val="00691748"/>
    <w:rsid w:val="00691A09"/>
    <w:rsid w:val="00692049"/>
    <w:rsid w:val="0069214C"/>
    <w:rsid w:val="0069233B"/>
    <w:rsid w:val="00692398"/>
    <w:rsid w:val="006927AB"/>
    <w:rsid w:val="00692C96"/>
    <w:rsid w:val="00692F1F"/>
    <w:rsid w:val="00692F89"/>
    <w:rsid w:val="006930B6"/>
    <w:rsid w:val="0069328E"/>
    <w:rsid w:val="006932AE"/>
    <w:rsid w:val="00693B2E"/>
    <w:rsid w:val="00693C9A"/>
    <w:rsid w:val="00693D60"/>
    <w:rsid w:val="00693EE3"/>
    <w:rsid w:val="00693F7C"/>
    <w:rsid w:val="00694263"/>
    <w:rsid w:val="00694D33"/>
    <w:rsid w:val="00694D34"/>
    <w:rsid w:val="0069533C"/>
    <w:rsid w:val="00695422"/>
    <w:rsid w:val="006954E5"/>
    <w:rsid w:val="00695769"/>
    <w:rsid w:val="0069620A"/>
    <w:rsid w:val="0069630F"/>
    <w:rsid w:val="006963B6"/>
    <w:rsid w:val="006969FA"/>
    <w:rsid w:val="006974E8"/>
    <w:rsid w:val="00697B79"/>
    <w:rsid w:val="00697FD6"/>
    <w:rsid w:val="00697FEF"/>
    <w:rsid w:val="006A0573"/>
    <w:rsid w:val="006A09F3"/>
    <w:rsid w:val="006A0A7C"/>
    <w:rsid w:val="006A0B83"/>
    <w:rsid w:val="006A0F6B"/>
    <w:rsid w:val="006A143F"/>
    <w:rsid w:val="006A170D"/>
    <w:rsid w:val="006A17F6"/>
    <w:rsid w:val="006A1802"/>
    <w:rsid w:val="006A1B1B"/>
    <w:rsid w:val="006A1BB3"/>
    <w:rsid w:val="006A1DD6"/>
    <w:rsid w:val="006A1F39"/>
    <w:rsid w:val="006A21C4"/>
    <w:rsid w:val="006A24CC"/>
    <w:rsid w:val="006A2640"/>
    <w:rsid w:val="006A26B7"/>
    <w:rsid w:val="006A2A21"/>
    <w:rsid w:val="006A2B95"/>
    <w:rsid w:val="006A3623"/>
    <w:rsid w:val="006A3941"/>
    <w:rsid w:val="006A39CD"/>
    <w:rsid w:val="006A3BB7"/>
    <w:rsid w:val="006A4019"/>
    <w:rsid w:val="006A487E"/>
    <w:rsid w:val="006A5100"/>
    <w:rsid w:val="006A5586"/>
    <w:rsid w:val="006A5A46"/>
    <w:rsid w:val="006A5DF3"/>
    <w:rsid w:val="006A6235"/>
    <w:rsid w:val="006A6401"/>
    <w:rsid w:val="006A6521"/>
    <w:rsid w:val="006A6747"/>
    <w:rsid w:val="006A683C"/>
    <w:rsid w:val="006A688E"/>
    <w:rsid w:val="006A75E8"/>
    <w:rsid w:val="006A7C71"/>
    <w:rsid w:val="006A7C9A"/>
    <w:rsid w:val="006B00F8"/>
    <w:rsid w:val="006B03F0"/>
    <w:rsid w:val="006B05F8"/>
    <w:rsid w:val="006B0645"/>
    <w:rsid w:val="006B0727"/>
    <w:rsid w:val="006B110D"/>
    <w:rsid w:val="006B16F0"/>
    <w:rsid w:val="006B1BEB"/>
    <w:rsid w:val="006B1DD4"/>
    <w:rsid w:val="006B1E07"/>
    <w:rsid w:val="006B2274"/>
    <w:rsid w:val="006B233F"/>
    <w:rsid w:val="006B25C2"/>
    <w:rsid w:val="006B2DAC"/>
    <w:rsid w:val="006B31A1"/>
    <w:rsid w:val="006B3586"/>
    <w:rsid w:val="006B359F"/>
    <w:rsid w:val="006B3748"/>
    <w:rsid w:val="006B381F"/>
    <w:rsid w:val="006B38B9"/>
    <w:rsid w:val="006B4013"/>
    <w:rsid w:val="006B4337"/>
    <w:rsid w:val="006B4474"/>
    <w:rsid w:val="006B4A16"/>
    <w:rsid w:val="006B4E10"/>
    <w:rsid w:val="006B5303"/>
    <w:rsid w:val="006B56C5"/>
    <w:rsid w:val="006B6FDD"/>
    <w:rsid w:val="006B7DA3"/>
    <w:rsid w:val="006C012B"/>
    <w:rsid w:val="006C0744"/>
    <w:rsid w:val="006C0B1A"/>
    <w:rsid w:val="006C0D8F"/>
    <w:rsid w:val="006C14A3"/>
    <w:rsid w:val="006C1544"/>
    <w:rsid w:val="006C20B4"/>
    <w:rsid w:val="006C215B"/>
    <w:rsid w:val="006C2524"/>
    <w:rsid w:val="006C2549"/>
    <w:rsid w:val="006C2849"/>
    <w:rsid w:val="006C2894"/>
    <w:rsid w:val="006C2916"/>
    <w:rsid w:val="006C2B29"/>
    <w:rsid w:val="006C3074"/>
    <w:rsid w:val="006C328E"/>
    <w:rsid w:val="006C33C8"/>
    <w:rsid w:val="006C36CF"/>
    <w:rsid w:val="006C3907"/>
    <w:rsid w:val="006C3AE0"/>
    <w:rsid w:val="006C3B19"/>
    <w:rsid w:val="006C3C44"/>
    <w:rsid w:val="006C3EF3"/>
    <w:rsid w:val="006C4A4B"/>
    <w:rsid w:val="006C5EED"/>
    <w:rsid w:val="006C5F1A"/>
    <w:rsid w:val="006C6330"/>
    <w:rsid w:val="006C675B"/>
    <w:rsid w:val="006C67E1"/>
    <w:rsid w:val="006C69A5"/>
    <w:rsid w:val="006C6F48"/>
    <w:rsid w:val="006C7028"/>
    <w:rsid w:val="006C75C0"/>
    <w:rsid w:val="006C7833"/>
    <w:rsid w:val="006D028C"/>
    <w:rsid w:val="006D031A"/>
    <w:rsid w:val="006D0560"/>
    <w:rsid w:val="006D0D58"/>
    <w:rsid w:val="006D14AF"/>
    <w:rsid w:val="006D156E"/>
    <w:rsid w:val="006D16C6"/>
    <w:rsid w:val="006D179E"/>
    <w:rsid w:val="006D1BD0"/>
    <w:rsid w:val="006D2640"/>
    <w:rsid w:val="006D2853"/>
    <w:rsid w:val="006D2E5C"/>
    <w:rsid w:val="006D30E4"/>
    <w:rsid w:val="006D3B69"/>
    <w:rsid w:val="006D42A4"/>
    <w:rsid w:val="006D4802"/>
    <w:rsid w:val="006D4C69"/>
    <w:rsid w:val="006D4CB3"/>
    <w:rsid w:val="006D4E92"/>
    <w:rsid w:val="006D4F93"/>
    <w:rsid w:val="006D58F0"/>
    <w:rsid w:val="006D5AC7"/>
    <w:rsid w:val="006D5DCA"/>
    <w:rsid w:val="006D6067"/>
    <w:rsid w:val="006D636D"/>
    <w:rsid w:val="006D64AE"/>
    <w:rsid w:val="006D6B8A"/>
    <w:rsid w:val="006D6D40"/>
    <w:rsid w:val="006D7003"/>
    <w:rsid w:val="006D702F"/>
    <w:rsid w:val="006D712C"/>
    <w:rsid w:val="006D7FB5"/>
    <w:rsid w:val="006E02A3"/>
    <w:rsid w:val="006E0534"/>
    <w:rsid w:val="006E1047"/>
    <w:rsid w:val="006E16DF"/>
    <w:rsid w:val="006E1BCE"/>
    <w:rsid w:val="006E1DC5"/>
    <w:rsid w:val="006E1F90"/>
    <w:rsid w:val="006E233D"/>
    <w:rsid w:val="006E26BD"/>
    <w:rsid w:val="006E26D9"/>
    <w:rsid w:val="006E29E4"/>
    <w:rsid w:val="006E2A9D"/>
    <w:rsid w:val="006E2E86"/>
    <w:rsid w:val="006E3399"/>
    <w:rsid w:val="006E39D6"/>
    <w:rsid w:val="006E3AA6"/>
    <w:rsid w:val="006E3CD1"/>
    <w:rsid w:val="006E5686"/>
    <w:rsid w:val="006E5FA0"/>
    <w:rsid w:val="006E601A"/>
    <w:rsid w:val="006E6870"/>
    <w:rsid w:val="006E6A23"/>
    <w:rsid w:val="006E6BB7"/>
    <w:rsid w:val="006E6E97"/>
    <w:rsid w:val="006E7239"/>
    <w:rsid w:val="006E7AF5"/>
    <w:rsid w:val="006E7B5C"/>
    <w:rsid w:val="006E7EAA"/>
    <w:rsid w:val="006E7F90"/>
    <w:rsid w:val="006F00DE"/>
    <w:rsid w:val="006F07A6"/>
    <w:rsid w:val="006F0BBE"/>
    <w:rsid w:val="006F0C24"/>
    <w:rsid w:val="006F0EA2"/>
    <w:rsid w:val="006F0F41"/>
    <w:rsid w:val="006F0F7D"/>
    <w:rsid w:val="006F107C"/>
    <w:rsid w:val="006F109D"/>
    <w:rsid w:val="006F1415"/>
    <w:rsid w:val="006F1A86"/>
    <w:rsid w:val="006F1E59"/>
    <w:rsid w:val="006F23E1"/>
    <w:rsid w:val="006F257A"/>
    <w:rsid w:val="006F2869"/>
    <w:rsid w:val="006F291E"/>
    <w:rsid w:val="006F2B8D"/>
    <w:rsid w:val="006F36B6"/>
    <w:rsid w:val="006F3C72"/>
    <w:rsid w:val="006F40FC"/>
    <w:rsid w:val="006F480E"/>
    <w:rsid w:val="006F4EA3"/>
    <w:rsid w:val="006F57A9"/>
    <w:rsid w:val="006F5D34"/>
    <w:rsid w:val="006F68CD"/>
    <w:rsid w:val="006F6A1D"/>
    <w:rsid w:val="006F7103"/>
    <w:rsid w:val="006F7213"/>
    <w:rsid w:val="006F7AE2"/>
    <w:rsid w:val="0070021B"/>
    <w:rsid w:val="007006EE"/>
    <w:rsid w:val="007006F5"/>
    <w:rsid w:val="00700B66"/>
    <w:rsid w:val="00701AE6"/>
    <w:rsid w:val="0070208A"/>
    <w:rsid w:val="00702369"/>
    <w:rsid w:val="007023B3"/>
    <w:rsid w:val="00702628"/>
    <w:rsid w:val="00702676"/>
    <w:rsid w:val="00702DE2"/>
    <w:rsid w:val="00702ECC"/>
    <w:rsid w:val="0070308B"/>
    <w:rsid w:val="00703174"/>
    <w:rsid w:val="007031B9"/>
    <w:rsid w:val="007037D6"/>
    <w:rsid w:val="007038F0"/>
    <w:rsid w:val="00703C90"/>
    <w:rsid w:val="00704C6D"/>
    <w:rsid w:val="007051CE"/>
    <w:rsid w:val="0070550C"/>
    <w:rsid w:val="00705979"/>
    <w:rsid w:val="00705A02"/>
    <w:rsid w:val="00705A47"/>
    <w:rsid w:val="00705C8D"/>
    <w:rsid w:val="00706964"/>
    <w:rsid w:val="00706B06"/>
    <w:rsid w:val="00706BA8"/>
    <w:rsid w:val="007075CB"/>
    <w:rsid w:val="00707A31"/>
    <w:rsid w:val="00707B27"/>
    <w:rsid w:val="00707B54"/>
    <w:rsid w:val="00707D10"/>
    <w:rsid w:val="0071054C"/>
    <w:rsid w:val="007107A0"/>
    <w:rsid w:val="00710864"/>
    <w:rsid w:val="00710906"/>
    <w:rsid w:val="00710A91"/>
    <w:rsid w:val="00710C68"/>
    <w:rsid w:val="007114E7"/>
    <w:rsid w:val="00711557"/>
    <w:rsid w:val="00711642"/>
    <w:rsid w:val="00711AD6"/>
    <w:rsid w:val="00711CD1"/>
    <w:rsid w:val="00711E35"/>
    <w:rsid w:val="00712475"/>
    <w:rsid w:val="00712762"/>
    <w:rsid w:val="00712861"/>
    <w:rsid w:val="007129CB"/>
    <w:rsid w:val="00712E8E"/>
    <w:rsid w:val="0071431C"/>
    <w:rsid w:val="00714904"/>
    <w:rsid w:val="00714FAE"/>
    <w:rsid w:val="007152C4"/>
    <w:rsid w:val="00715373"/>
    <w:rsid w:val="00715592"/>
    <w:rsid w:val="00715A0A"/>
    <w:rsid w:val="00715AEB"/>
    <w:rsid w:val="00715E8C"/>
    <w:rsid w:val="00716331"/>
    <w:rsid w:val="00716A34"/>
    <w:rsid w:val="00716BCD"/>
    <w:rsid w:val="00716C63"/>
    <w:rsid w:val="0071735C"/>
    <w:rsid w:val="00720856"/>
    <w:rsid w:val="00720A5F"/>
    <w:rsid w:val="00720BC2"/>
    <w:rsid w:val="0072102A"/>
    <w:rsid w:val="007214F9"/>
    <w:rsid w:val="007223F3"/>
    <w:rsid w:val="00722825"/>
    <w:rsid w:val="007228D2"/>
    <w:rsid w:val="007229D7"/>
    <w:rsid w:val="00723282"/>
    <w:rsid w:val="007233F8"/>
    <w:rsid w:val="007234C0"/>
    <w:rsid w:val="00723DC7"/>
    <w:rsid w:val="0072426F"/>
    <w:rsid w:val="00724811"/>
    <w:rsid w:val="007252B8"/>
    <w:rsid w:val="007258F1"/>
    <w:rsid w:val="00725BA2"/>
    <w:rsid w:val="00725CBA"/>
    <w:rsid w:val="00725D05"/>
    <w:rsid w:val="00725DB4"/>
    <w:rsid w:val="00725FA2"/>
    <w:rsid w:val="0072687E"/>
    <w:rsid w:val="007268F8"/>
    <w:rsid w:val="007274F5"/>
    <w:rsid w:val="00727689"/>
    <w:rsid w:val="0072787D"/>
    <w:rsid w:val="00727F6B"/>
    <w:rsid w:val="00727F76"/>
    <w:rsid w:val="00730005"/>
    <w:rsid w:val="00730B9E"/>
    <w:rsid w:val="007310A0"/>
    <w:rsid w:val="00731598"/>
    <w:rsid w:val="0073188B"/>
    <w:rsid w:val="007318AC"/>
    <w:rsid w:val="00731D80"/>
    <w:rsid w:val="00731F86"/>
    <w:rsid w:val="00732232"/>
    <w:rsid w:val="00732EE9"/>
    <w:rsid w:val="00733236"/>
    <w:rsid w:val="007335F1"/>
    <w:rsid w:val="00733707"/>
    <w:rsid w:val="00733848"/>
    <w:rsid w:val="0073404D"/>
    <w:rsid w:val="0073420E"/>
    <w:rsid w:val="00734DA3"/>
    <w:rsid w:val="00734F69"/>
    <w:rsid w:val="00735203"/>
    <w:rsid w:val="007355C3"/>
    <w:rsid w:val="00735C61"/>
    <w:rsid w:val="00735D95"/>
    <w:rsid w:val="00735F48"/>
    <w:rsid w:val="00736622"/>
    <w:rsid w:val="00736F66"/>
    <w:rsid w:val="0073719B"/>
    <w:rsid w:val="00737274"/>
    <w:rsid w:val="007372E8"/>
    <w:rsid w:val="007400EB"/>
    <w:rsid w:val="00740167"/>
    <w:rsid w:val="007405E2"/>
    <w:rsid w:val="0074078B"/>
    <w:rsid w:val="007409D4"/>
    <w:rsid w:val="00740BBE"/>
    <w:rsid w:val="00740F2F"/>
    <w:rsid w:val="00741723"/>
    <w:rsid w:val="00741C39"/>
    <w:rsid w:val="00741CD3"/>
    <w:rsid w:val="00741DC4"/>
    <w:rsid w:val="00741F28"/>
    <w:rsid w:val="00741F4B"/>
    <w:rsid w:val="0074211E"/>
    <w:rsid w:val="0074241B"/>
    <w:rsid w:val="007425B0"/>
    <w:rsid w:val="00742ACA"/>
    <w:rsid w:val="00742B47"/>
    <w:rsid w:val="00743284"/>
    <w:rsid w:val="00743511"/>
    <w:rsid w:val="00743FD1"/>
    <w:rsid w:val="00744439"/>
    <w:rsid w:val="00744453"/>
    <w:rsid w:val="007444D6"/>
    <w:rsid w:val="0074534F"/>
    <w:rsid w:val="00745CA5"/>
    <w:rsid w:val="00745CD1"/>
    <w:rsid w:val="00745F75"/>
    <w:rsid w:val="00746030"/>
    <w:rsid w:val="007463F1"/>
    <w:rsid w:val="007464B0"/>
    <w:rsid w:val="00746730"/>
    <w:rsid w:val="00746A11"/>
    <w:rsid w:val="00746E56"/>
    <w:rsid w:val="007473E0"/>
    <w:rsid w:val="0074776D"/>
    <w:rsid w:val="00747A5E"/>
    <w:rsid w:val="00747C2F"/>
    <w:rsid w:val="00747EE7"/>
    <w:rsid w:val="00747FE5"/>
    <w:rsid w:val="0075019C"/>
    <w:rsid w:val="00750493"/>
    <w:rsid w:val="00750BD4"/>
    <w:rsid w:val="00750E7B"/>
    <w:rsid w:val="00751490"/>
    <w:rsid w:val="00751971"/>
    <w:rsid w:val="00751BC5"/>
    <w:rsid w:val="00751BD7"/>
    <w:rsid w:val="00751E6F"/>
    <w:rsid w:val="00751EE5"/>
    <w:rsid w:val="00752041"/>
    <w:rsid w:val="007523E2"/>
    <w:rsid w:val="007523FC"/>
    <w:rsid w:val="00752480"/>
    <w:rsid w:val="007524E2"/>
    <w:rsid w:val="00752B77"/>
    <w:rsid w:val="00752DEE"/>
    <w:rsid w:val="00752F5D"/>
    <w:rsid w:val="00752FEF"/>
    <w:rsid w:val="0075301E"/>
    <w:rsid w:val="0075325F"/>
    <w:rsid w:val="00753A21"/>
    <w:rsid w:val="007548E8"/>
    <w:rsid w:val="00754AFB"/>
    <w:rsid w:val="00754D24"/>
    <w:rsid w:val="0075564B"/>
    <w:rsid w:val="007570C2"/>
    <w:rsid w:val="00757560"/>
    <w:rsid w:val="00757C49"/>
    <w:rsid w:val="00760175"/>
    <w:rsid w:val="007602AF"/>
    <w:rsid w:val="00760586"/>
    <w:rsid w:val="00760EFB"/>
    <w:rsid w:val="00760FB9"/>
    <w:rsid w:val="0076200A"/>
    <w:rsid w:val="007621D6"/>
    <w:rsid w:val="00762460"/>
    <w:rsid w:val="0076288C"/>
    <w:rsid w:val="007631C8"/>
    <w:rsid w:val="00763263"/>
    <w:rsid w:val="00763DF8"/>
    <w:rsid w:val="00764368"/>
    <w:rsid w:val="0076448F"/>
    <w:rsid w:val="007647AF"/>
    <w:rsid w:val="00764A02"/>
    <w:rsid w:val="00764E55"/>
    <w:rsid w:val="00764F78"/>
    <w:rsid w:val="0076524D"/>
    <w:rsid w:val="0076536E"/>
    <w:rsid w:val="0076594B"/>
    <w:rsid w:val="0076625B"/>
    <w:rsid w:val="00766609"/>
    <w:rsid w:val="00766A15"/>
    <w:rsid w:val="00766DDE"/>
    <w:rsid w:val="00766E67"/>
    <w:rsid w:val="00766F62"/>
    <w:rsid w:val="007676D7"/>
    <w:rsid w:val="00767753"/>
    <w:rsid w:val="0076798E"/>
    <w:rsid w:val="00767D52"/>
    <w:rsid w:val="00767F33"/>
    <w:rsid w:val="007702D2"/>
    <w:rsid w:val="007703E7"/>
    <w:rsid w:val="00770534"/>
    <w:rsid w:val="00770CA9"/>
    <w:rsid w:val="00770CF8"/>
    <w:rsid w:val="007711AD"/>
    <w:rsid w:val="007711FD"/>
    <w:rsid w:val="0077165E"/>
    <w:rsid w:val="0077169C"/>
    <w:rsid w:val="00771F9C"/>
    <w:rsid w:val="007720E4"/>
    <w:rsid w:val="007727A6"/>
    <w:rsid w:val="007736FF"/>
    <w:rsid w:val="00773F9A"/>
    <w:rsid w:val="00774382"/>
    <w:rsid w:val="007743E5"/>
    <w:rsid w:val="00774902"/>
    <w:rsid w:val="00774A88"/>
    <w:rsid w:val="00774FE8"/>
    <w:rsid w:val="007751A0"/>
    <w:rsid w:val="00775AC9"/>
    <w:rsid w:val="00775F4E"/>
    <w:rsid w:val="00776259"/>
    <w:rsid w:val="007762A2"/>
    <w:rsid w:val="007765FE"/>
    <w:rsid w:val="00776AD0"/>
    <w:rsid w:val="00776B94"/>
    <w:rsid w:val="00776C56"/>
    <w:rsid w:val="00776D81"/>
    <w:rsid w:val="007777A3"/>
    <w:rsid w:val="00777ACD"/>
    <w:rsid w:val="00777CB0"/>
    <w:rsid w:val="00777F2B"/>
    <w:rsid w:val="00780411"/>
    <w:rsid w:val="007809CC"/>
    <w:rsid w:val="00780B29"/>
    <w:rsid w:val="00780EBC"/>
    <w:rsid w:val="00781669"/>
    <w:rsid w:val="00781AA4"/>
    <w:rsid w:val="00781D68"/>
    <w:rsid w:val="007823D8"/>
    <w:rsid w:val="007827F1"/>
    <w:rsid w:val="00782882"/>
    <w:rsid w:val="007839ED"/>
    <w:rsid w:val="00783B79"/>
    <w:rsid w:val="00784697"/>
    <w:rsid w:val="007846B2"/>
    <w:rsid w:val="00784743"/>
    <w:rsid w:val="00784773"/>
    <w:rsid w:val="007851A6"/>
    <w:rsid w:val="00785378"/>
    <w:rsid w:val="00785E62"/>
    <w:rsid w:val="0078606C"/>
    <w:rsid w:val="007861E1"/>
    <w:rsid w:val="0078626A"/>
    <w:rsid w:val="007863CD"/>
    <w:rsid w:val="00786541"/>
    <w:rsid w:val="007868B4"/>
    <w:rsid w:val="00786944"/>
    <w:rsid w:val="00786A17"/>
    <w:rsid w:val="00786C93"/>
    <w:rsid w:val="00786D24"/>
    <w:rsid w:val="00786E83"/>
    <w:rsid w:val="00786E8C"/>
    <w:rsid w:val="00787AB0"/>
    <w:rsid w:val="00787EB7"/>
    <w:rsid w:val="0079017C"/>
    <w:rsid w:val="007909D5"/>
    <w:rsid w:val="00790A08"/>
    <w:rsid w:val="00791CBD"/>
    <w:rsid w:val="00792259"/>
    <w:rsid w:val="0079243A"/>
    <w:rsid w:val="0079268F"/>
    <w:rsid w:val="00792A4F"/>
    <w:rsid w:val="00792A56"/>
    <w:rsid w:val="00793549"/>
    <w:rsid w:val="00793586"/>
    <w:rsid w:val="0079392A"/>
    <w:rsid w:val="0079392D"/>
    <w:rsid w:val="00793B5D"/>
    <w:rsid w:val="00793D2F"/>
    <w:rsid w:val="00794480"/>
    <w:rsid w:val="00794FE0"/>
    <w:rsid w:val="00795680"/>
    <w:rsid w:val="0079597C"/>
    <w:rsid w:val="00795D5A"/>
    <w:rsid w:val="007962B9"/>
    <w:rsid w:val="007963FF"/>
    <w:rsid w:val="0079668D"/>
    <w:rsid w:val="00796D34"/>
    <w:rsid w:val="00796DDF"/>
    <w:rsid w:val="0079729D"/>
    <w:rsid w:val="00797A49"/>
    <w:rsid w:val="00797AB9"/>
    <w:rsid w:val="00797EEB"/>
    <w:rsid w:val="007A0420"/>
    <w:rsid w:val="007A0600"/>
    <w:rsid w:val="007A0E77"/>
    <w:rsid w:val="007A12BE"/>
    <w:rsid w:val="007A143A"/>
    <w:rsid w:val="007A1BF3"/>
    <w:rsid w:val="007A1EDE"/>
    <w:rsid w:val="007A1FB2"/>
    <w:rsid w:val="007A230F"/>
    <w:rsid w:val="007A2661"/>
    <w:rsid w:val="007A2C70"/>
    <w:rsid w:val="007A371F"/>
    <w:rsid w:val="007A480A"/>
    <w:rsid w:val="007A51D1"/>
    <w:rsid w:val="007A5E81"/>
    <w:rsid w:val="007A5F3D"/>
    <w:rsid w:val="007A5FBC"/>
    <w:rsid w:val="007A63ED"/>
    <w:rsid w:val="007A6EC8"/>
    <w:rsid w:val="007A6F5D"/>
    <w:rsid w:val="007A75E6"/>
    <w:rsid w:val="007A7B6B"/>
    <w:rsid w:val="007B0820"/>
    <w:rsid w:val="007B093D"/>
    <w:rsid w:val="007B12B1"/>
    <w:rsid w:val="007B1668"/>
    <w:rsid w:val="007B17E4"/>
    <w:rsid w:val="007B1901"/>
    <w:rsid w:val="007B1991"/>
    <w:rsid w:val="007B1CA7"/>
    <w:rsid w:val="007B1D2B"/>
    <w:rsid w:val="007B1E68"/>
    <w:rsid w:val="007B1FE0"/>
    <w:rsid w:val="007B214F"/>
    <w:rsid w:val="007B21B4"/>
    <w:rsid w:val="007B2AE1"/>
    <w:rsid w:val="007B320F"/>
    <w:rsid w:val="007B3319"/>
    <w:rsid w:val="007B39E7"/>
    <w:rsid w:val="007B4023"/>
    <w:rsid w:val="007B41A0"/>
    <w:rsid w:val="007B4250"/>
    <w:rsid w:val="007B4B86"/>
    <w:rsid w:val="007B4CEC"/>
    <w:rsid w:val="007B5038"/>
    <w:rsid w:val="007B503D"/>
    <w:rsid w:val="007B534C"/>
    <w:rsid w:val="007B55B0"/>
    <w:rsid w:val="007B55B8"/>
    <w:rsid w:val="007B5BBA"/>
    <w:rsid w:val="007B6214"/>
    <w:rsid w:val="007B667D"/>
    <w:rsid w:val="007B6760"/>
    <w:rsid w:val="007B6909"/>
    <w:rsid w:val="007B6F3E"/>
    <w:rsid w:val="007B723A"/>
    <w:rsid w:val="007B733F"/>
    <w:rsid w:val="007B7706"/>
    <w:rsid w:val="007C00B6"/>
    <w:rsid w:val="007C00E3"/>
    <w:rsid w:val="007C0196"/>
    <w:rsid w:val="007C06F0"/>
    <w:rsid w:val="007C08F2"/>
    <w:rsid w:val="007C0EE2"/>
    <w:rsid w:val="007C1442"/>
    <w:rsid w:val="007C21F5"/>
    <w:rsid w:val="007C2565"/>
    <w:rsid w:val="007C262D"/>
    <w:rsid w:val="007C29C2"/>
    <w:rsid w:val="007C2FF3"/>
    <w:rsid w:val="007C30DF"/>
    <w:rsid w:val="007C32CC"/>
    <w:rsid w:val="007C33ED"/>
    <w:rsid w:val="007C3613"/>
    <w:rsid w:val="007C397A"/>
    <w:rsid w:val="007C3A06"/>
    <w:rsid w:val="007C3A2F"/>
    <w:rsid w:val="007C3D35"/>
    <w:rsid w:val="007C413D"/>
    <w:rsid w:val="007C4352"/>
    <w:rsid w:val="007C5618"/>
    <w:rsid w:val="007C5846"/>
    <w:rsid w:val="007C5AAC"/>
    <w:rsid w:val="007C5BEB"/>
    <w:rsid w:val="007C5C86"/>
    <w:rsid w:val="007C5D7B"/>
    <w:rsid w:val="007C5F0E"/>
    <w:rsid w:val="007C656C"/>
    <w:rsid w:val="007C66CB"/>
    <w:rsid w:val="007C67C9"/>
    <w:rsid w:val="007C68BE"/>
    <w:rsid w:val="007C69C9"/>
    <w:rsid w:val="007C6AAC"/>
    <w:rsid w:val="007C7054"/>
    <w:rsid w:val="007C7C51"/>
    <w:rsid w:val="007C7DC3"/>
    <w:rsid w:val="007D0032"/>
    <w:rsid w:val="007D0504"/>
    <w:rsid w:val="007D111D"/>
    <w:rsid w:val="007D11FB"/>
    <w:rsid w:val="007D1A58"/>
    <w:rsid w:val="007D2921"/>
    <w:rsid w:val="007D2A06"/>
    <w:rsid w:val="007D3290"/>
    <w:rsid w:val="007D352A"/>
    <w:rsid w:val="007D39BF"/>
    <w:rsid w:val="007D3DF8"/>
    <w:rsid w:val="007D42DA"/>
    <w:rsid w:val="007D43B4"/>
    <w:rsid w:val="007D4541"/>
    <w:rsid w:val="007D487A"/>
    <w:rsid w:val="007D49F7"/>
    <w:rsid w:val="007D5C7A"/>
    <w:rsid w:val="007D5DF5"/>
    <w:rsid w:val="007D5E28"/>
    <w:rsid w:val="007D6132"/>
    <w:rsid w:val="007D627E"/>
    <w:rsid w:val="007D696B"/>
    <w:rsid w:val="007D69E8"/>
    <w:rsid w:val="007D6FF4"/>
    <w:rsid w:val="007D76F9"/>
    <w:rsid w:val="007D7B0C"/>
    <w:rsid w:val="007E00F1"/>
    <w:rsid w:val="007E01A9"/>
    <w:rsid w:val="007E01DD"/>
    <w:rsid w:val="007E090B"/>
    <w:rsid w:val="007E0B8F"/>
    <w:rsid w:val="007E179B"/>
    <w:rsid w:val="007E18EA"/>
    <w:rsid w:val="007E1929"/>
    <w:rsid w:val="007E1B6A"/>
    <w:rsid w:val="007E1DB2"/>
    <w:rsid w:val="007E2884"/>
    <w:rsid w:val="007E322C"/>
    <w:rsid w:val="007E3233"/>
    <w:rsid w:val="007E4260"/>
    <w:rsid w:val="007E47D2"/>
    <w:rsid w:val="007E4EE6"/>
    <w:rsid w:val="007E4F4A"/>
    <w:rsid w:val="007E4F5F"/>
    <w:rsid w:val="007E509E"/>
    <w:rsid w:val="007E5567"/>
    <w:rsid w:val="007E58A4"/>
    <w:rsid w:val="007E59DD"/>
    <w:rsid w:val="007E63C4"/>
    <w:rsid w:val="007E7A79"/>
    <w:rsid w:val="007E7EC6"/>
    <w:rsid w:val="007F00C2"/>
    <w:rsid w:val="007F037C"/>
    <w:rsid w:val="007F063B"/>
    <w:rsid w:val="007F06A6"/>
    <w:rsid w:val="007F0731"/>
    <w:rsid w:val="007F088B"/>
    <w:rsid w:val="007F0AB2"/>
    <w:rsid w:val="007F0DE8"/>
    <w:rsid w:val="007F117B"/>
    <w:rsid w:val="007F1218"/>
    <w:rsid w:val="007F1370"/>
    <w:rsid w:val="007F219A"/>
    <w:rsid w:val="007F2427"/>
    <w:rsid w:val="007F2A68"/>
    <w:rsid w:val="007F2CDB"/>
    <w:rsid w:val="007F2F2F"/>
    <w:rsid w:val="007F3228"/>
    <w:rsid w:val="007F32BA"/>
    <w:rsid w:val="007F34A8"/>
    <w:rsid w:val="007F36B8"/>
    <w:rsid w:val="007F4050"/>
    <w:rsid w:val="007F46EE"/>
    <w:rsid w:val="007F4CF8"/>
    <w:rsid w:val="007F5035"/>
    <w:rsid w:val="007F56A1"/>
    <w:rsid w:val="007F5A6A"/>
    <w:rsid w:val="007F5C01"/>
    <w:rsid w:val="007F6EB3"/>
    <w:rsid w:val="007F6FBF"/>
    <w:rsid w:val="007F700D"/>
    <w:rsid w:val="007F74F1"/>
    <w:rsid w:val="007F7525"/>
    <w:rsid w:val="007F7A79"/>
    <w:rsid w:val="0080020D"/>
    <w:rsid w:val="00800421"/>
    <w:rsid w:val="0080096B"/>
    <w:rsid w:val="00800DCA"/>
    <w:rsid w:val="00800EF2"/>
    <w:rsid w:val="00801582"/>
    <w:rsid w:val="00801787"/>
    <w:rsid w:val="0080179A"/>
    <w:rsid w:val="008018D2"/>
    <w:rsid w:val="00801A35"/>
    <w:rsid w:val="00801E60"/>
    <w:rsid w:val="008020EA"/>
    <w:rsid w:val="008022B7"/>
    <w:rsid w:val="008024CC"/>
    <w:rsid w:val="0080401A"/>
    <w:rsid w:val="0080416F"/>
    <w:rsid w:val="0080421B"/>
    <w:rsid w:val="008042C9"/>
    <w:rsid w:val="00804468"/>
    <w:rsid w:val="00804639"/>
    <w:rsid w:val="0080477B"/>
    <w:rsid w:val="008050F7"/>
    <w:rsid w:val="00805570"/>
    <w:rsid w:val="00806E0E"/>
    <w:rsid w:val="00807310"/>
    <w:rsid w:val="008073DA"/>
    <w:rsid w:val="00807659"/>
    <w:rsid w:val="00807B7B"/>
    <w:rsid w:val="00807DCE"/>
    <w:rsid w:val="0081040E"/>
    <w:rsid w:val="00810AB9"/>
    <w:rsid w:val="00811379"/>
    <w:rsid w:val="008123E8"/>
    <w:rsid w:val="008126F2"/>
    <w:rsid w:val="00812AB6"/>
    <w:rsid w:val="00812B39"/>
    <w:rsid w:val="00812F57"/>
    <w:rsid w:val="0081313D"/>
    <w:rsid w:val="008137CB"/>
    <w:rsid w:val="0081396B"/>
    <w:rsid w:val="00813A47"/>
    <w:rsid w:val="00813D79"/>
    <w:rsid w:val="00813DBE"/>
    <w:rsid w:val="00814124"/>
    <w:rsid w:val="008145B4"/>
    <w:rsid w:val="0081475E"/>
    <w:rsid w:val="0081477E"/>
    <w:rsid w:val="00814E9D"/>
    <w:rsid w:val="00815186"/>
    <w:rsid w:val="0081528A"/>
    <w:rsid w:val="00815DDC"/>
    <w:rsid w:val="00815FCD"/>
    <w:rsid w:val="00816895"/>
    <w:rsid w:val="00816A95"/>
    <w:rsid w:val="00816AC9"/>
    <w:rsid w:val="00817075"/>
    <w:rsid w:val="008171D5"/>
    <w:rsid w:val="00817674"/>
    <w:rsid w:val="00817945"/>
    <w:rsid w:val="00820019"/>
    <w:rsid w:val="00820023"/>
    <w:rsid w:val="00820754"/>
    <w:rsid w:val="0082176A"/>
    <w:rsid w:val="008219EB"/>
    <w:rsid w:val="00821A84"/>
    <w:rsid w:val="00821B2C"/>
    <w:rsid w:val="00821C33"/>
    <w:rsid w:val="00821DFC"/>
    <w:rsid w:val="00822407"/>
    <w:rsid w:val="00822609"/>
    <w:rsid w:val="00822839"/>
    <w:rsid w:val="00822843"/>
    <w:rsid w:val="00822CD7"/>
    <w:rsid w:val="00822D87"/>
    <w:rsid w:val="00822E66"/>
    <w:rsid w:val="00822F87"/>
    <w:rsid w:val="00822FA5"/>
    <w:rsid w:val="008235B3"/>
    <w:rsid w:val="00823891"/>
    <w:rsid w:val="008238E5"/>
    <w:rsid w:val="00823985"/>
    <w:rsid w:val="008240EE"/>
    <w:rsid w:val="008248D2"/>
    <w:rsid w:val="00824B36"/>
    <w:rsid w:val="00824F4C"/>
    <w:rsid w:val="008257E3"/>
    <w:rsid w:val="00825909"/>
    <w:rsid w:val="00825918"/>
    <w:rsid w:val="008264D1"/>
    <w:rsid w:val="00826967"/>
    <w:rsid w:val="00826F12"/>
    <w:rsid w:val="008270BD"/>
    <w:rsid w:val="00827108"/>
    <w:rsid w:val="00827127"/>
    <w:rsid w:val="00827230"/>
    <w:rsid w:val="00827D51"/>
    <w:rsid w:val="00830246"/>
    <w:rsid w:val="00830DF2"/>
    <w:rsid w:val="00830F26"/>
    <w:rsid w:val="008317F1"/>
    <w:rsid w:val="00831B1B"/>
    <w:rsid w:val="00831DBB"/>
    <w:rsid w:val="008322FE"/>
    <w:rsid w:val="00832428"/>
    <w:rsid w:val="00832668"/>
    <w:rsid w:val="00832A4E"/>
    <w:rsid w:val="00832AB7"/>
    <w:rsid w:val="00832AE6"/>
    <w:rsid w:val="00832DA3"/>
    <w:rsid w:val="008337D0"/>
    <w:rsid w:val="0083387E"/>
    <w:rsid w:val="00833DF6"/>
    <w:rsid w:val="00833E70"/>
    <w:rsid w:val="00834003"/>
    <w:rsid w:val="00834440"/>
    <w:rsid w:val="00835513"/>
    <w:rsid w:val="00835787"/>
    <w:rsid w:val="008358FC"/>
    <w:rsid w:val="00835B89"/>
    <w:rsid w:val="00835DA4"/>
    <w:rsid w:val="0083612C"/>
    <w:rsid w:val="008361A0"/>
    <w:rsid w:val="008361FA"/>
    <w:rsid w:val="00836799"/>
    <w:rsid w:val="00836DF8"/>
    <w:rsid w:val="008373E6"/>
    <w:rsid w:val="0083749D"/>
    <w:rsid w:val="0083759C"/>
    <w:rsid w:val="00837869"/>
    <w:rsid w:val="00837951"/>
    <w:rsid w:val="00837AD5"/>
    <w:rsid w:val="00837E16"/>
    <w:rsid w:val="00837F7C"/>
    <w:rsid w:val="00840127"/>
    <w:rsid w:val="008412E4"/>
    <w:rsid w:val="00841630"/>
    <w:rsid w:val="00841D45"/>
    <w:rsid w:val="00841E2C"/>
    <w:rsid w:val="008425F5"/>
    <w:rsid w:val="00842A55"/>
    <w:rsid w:val="008430BC"/>
    <w:rsid w:val="00843212"/>
    <w:rsid w:val="00843247"/>
    <w:rsid w:val="00843B0B"/>
    <w:rsid w:val="00843B32"/>
    <w:rsid w:val="00843E3E"/>
    <w:rsid w:val="008448F0"/>
    <w:rsid w:val="0084497D"/>
    <w:rsid w:val="00845020"/>
    <w:rsid w:val="00845113"/>
    <w:rsid w:val="00845B73"/>
    <w:rsid w:val="00845D30"/>
    <w:rsid w:val="008461BF"/>
    <w:rsid w:val="00846640"/>
    <w:rsid w:val="008466B9"/>
    <w:rsid w:val="00846826"/>
    <w:rsid w:val="00846952"/>
    <w:rsid w:val="008471D3"/>
    <w:rsid w:val="00847363"/>
    <w:rsid w:val="00847390"/>
    <w:rsid w:val="008474F6"/>
    <w:rsid w:val="00847596"/>
    <w:rsid w:val="008475E2"/>
    <w:rsid w:val="0084790B"/>
    <w:rsid w:val="00847939"/>
    <w:rsid w:val="00847ED7"/>
    <w:rsid w:val="00850E3E"/>
    <w:rsid w:val="00851125"/>
    <w:rsid w:val="008517D4"/>
    <w:rsid w:val="00852184"/>
    <w:rsid w:val="0085223B"/>
    <w:rsid w:val="0085235E"/>
    <w:rsid w:val="00852484"/>
    <w:rsid w:val="00852C42"/>
    <w:rsid w:val="008531BC"/>
    <w:rsid w:val="0085326A"/>
    <w:rsid w:val="00853A73"/>
    <w:rsid w:val="00854103"/>
    <w:rsid w:val="0085509F"/>
    <w:rsid w:val="00855326"/>
    <w:rsid w:val="0085536B"/>
    <w:rsid w:val="00855633"/>
    <w:rsid w:val="008559BA"/>
    <w:rsid w:val="00855BF9"/>
    <w:rsid w:val="0085614B"/>
    <w:rsid w:val="00856817"/>
    <w:rsid w:val="00856850"/>
    <w:rsid w:val="00856E56"/>
    <w:rsid w:val="00856EE1"/>
    <w:rsid w:val="00857063"/>
    <w:rsid w:val="008571D5"/>
    <w:rsid w:val="00857349"/>
    <w:rsid w:val="00857419"/>
    <w:rsid w:val="008575DB"/>
    <w:rsid w:val="00857A8A"/>
    <w:rsid w:val="0086031D"/>
    <w:rsid w:val="008603BC"/>
    <w:rsid w:val="0086054D"/>
    <w:rsid w:val="008606A3"/>
    <w:rsid w:val="00861113"/>
    <w:rsid w:val="00861209"/>
    <w:rsid w:val="008614BC"/>
    <w:rsid w:val="008615A2"/>
    <w:rsid w:val="00862093"/>
    <w:rsid w:val="008621BD"/>
    <w:rsid w:val="008627EC"/>
    <w:rsid w:val="00862842"/>
    <w:rsid w:val="00862ABB"/>
    <w:rsid w:val="00862EDA"/>
    <w:rsid w:val="00863373"/>
    <w:rsid w:val="00863C43"/>
    <w:rsid w:val="00863DC9"/>
    <w:rsid w:val="008641A5"/>
    <w:rsid w:val="008642A7"/>
    <w:rsid w:val="00864F7B"/>
    <w:rsid w:val="00865031"/>
    <w:rsid w:val="00865067"/>
    <w:rsid w:val="008650FC"/>
    <w:rsid w:val="0086521F"/>
    <w:rsid w:val="008652AB"/>
    <w:rsid w:val="0086656F"/>
    <w:rsid w:val="00866881"/>
    <w:rsid w:val="00866913"/>
    <w:rsid w:val="0086747A"/>
    <w:rsid w:val="008677A9"/>
    <w:rsid w:val="00867C18"/>
    <w:rsid w:val="00870269"/>
    <w:rsid w:val="00870346"/>
    <w:rsid w:val="00870C39"/>
    <w:rsid w:val="00870C65"/>
    <w:rsid w:val="008710F7"/>
    <w:rsid w:val="00871559"/>
    <w:rsid w:val="00872166"/>
    <w:rsid w:val="0087249F"/>
    <w:rsid w:val="00872808"/>
    <w:rsid w:val="00872D30"/>
    <w:rsid w:val="00872D3F"/>
    <w:rsid w:val="00872E12"/>
    <w:rsid w:val="00872FB7"/>
    <w:rsid w:val="00873E5D"/>
    <w:rsid w:val="008740C8"/>
    <w:rsid w:val="008746DD"/>
    <w:rsid w:val="00874EB6"/>
    <w:rsid w:val="00875D97"/>
    <w:rsid w:val="008760B9"/>
    <w:rsid w:val="0087618A"/>
    <w:rsid w:val="00876F02"/>
    <w:rsid w:val="008771D0"/>
    <w:rsid w:val="00877573"/>
    <w:rsid w:val="00877BF6"/>
    <w:rsid w:val="00877D7C"/>
    <w:rsid w:val="00877F35"/>
    <w:rsid w:val="0088002A"/>
    <w:rsid w:val="008804F3"/>
    <w:rsid w:val="00880716"/>
    <w:rsid w:val="00880731"/>
    <w:rsid w:val="00880A82"/>
    <w:rsid w:val="00880C04"/>
    <w:rsid w:val="00880D9E"/>
    <w:rsid w:val="00881084"/>
    <w:rsid w:val="0088165C"/>
    <w:rsid w:val="008816E0"/>
    <w:rsid w:val="0088175A"/>
    <w:rsid w:val="00881E0C"/>
    <w:rsid w:val="008826E6"/>
    <w:rsid w:val="00882FD0"/>
    <w:rsid w:val="00883531"/>
    <w:rsid w:val="00883537"/>
    <w:rsid w:val="00883D33"/>
    <w:rsid w:val="008843A5"/>
    <w:rsid w:val="00884558"/>
    <w:rsid w:val="00884A63"/>
    <w:rsid w:val="00884A74"/>
    <w:rsid w:val="00885E16"/>
    <w:rsid w:val="008861AE"/>
    <w:rsid w:val="0088624C"/>
    <w:rsid w:val="008863C4"/>
    <w:rsid w:val="008866AB"/>
    <w:rsid w:val="00887260"/>
    <w:rsid w:val="0088740A"/>
    <w:rsid w:val="00887553"/>
    <w:rsid w:val="00887868"/>
    <w:rsid w:val="00887EBF"/>
    <w:rsid w:val="00887FA1"/>
    <w:rsid w:val="00890205"/>
    <w:rsid w:val="008905AF"/>
    <w:rsid w:val="00890920"/>
    <w:rsid w:val="00890E9B"/>
    <w:rsid w:val="00891B5B"/>
    <w:rsid w:val="00891E42"/>
    <w:rsid w:val="00891E46"/>
    <w:rsid w:val="00892548"/>
    <w:rsid w:val="00892DED"/>
    <w:rsid w:val="008938E9"/>
    <w:rsid w:val="00893D64"/>
    <w:rsid w:val="008940B9"/>
    <w:rsid w:val="0089424D"/>
    <w:rsid w:val="00894620"/>
    <w:rsid w:val="00894698"/>
    <w:rsid w:val="00895110"/>
    <w:rsid w:val="0089595C"/>
    <w:rsid w:val="00896226"/>
    <w:rsid w:val="008976F5"/>
    <w:rsid w:val="00897950"/>
    <w:rsid w:val="008A002B"/>
    <w:rsid w:val="008A022D"/>
    <w:rsid w:val="008A0C1E"/>
    <w:rsid w:val="008A0DDF"/>
    <w:rsid w:val="008A0F14"/>
    <w:rsid w:val="008A0FA9"/>
    <w:rsid w:val="008A12E0"/>
    <w:rsid w:val="008A163E"/>
    <w:rsid w:val="008A1806"/>
    <w:rsid w:val="008A1BEB"/>
    <w:rsid w:val="008A1FC4"/>
    <w:rsid w:val="008A2154"/>
    <w:rsid w:val="008A217F"/>
    <w:rsid w:val="008A2516"/>
    <w:rsid w:val="008A2595"/>
    <w:rsid w:val="008A2989"/>
    <w:rsid w:val="008A2EAE"/>
    <w:rsid w:val="008A35C2"/>
    <w:rsid w:val="008A3F0B"/>
    <w:rsid w:val="008A4101"/>
    <w:rsid w:val="008A422D"/>
    <w:rsid w:val="008A43F8"/>
    <w:rsid w:val="008A570E"/>
    <w:rsid w:val="008A581D"/>
    <w:rsid w:val="008A5F8E"/>
    <w:rsid w:val="008A6083"/>
    <w:rsid w:val="008A6186"/>
    <w:rsid w:val="008A6188"/>
    <w:rsid w:val="008A66FF"/>
    <w:rsid w:val="008A68F2"/>
    <w:rsid w:val="008A6AAA"/>
    <w:rsid w:val="008A6B2B"/>
    <w:rsid w:val="008A7450"/>
    <w:rsid w:val="008A789F"/>
    <w:rsid w:val="008A7A48"/>
    <w:rsid w:val="008A7C86"/>
    <w:rsid w:val="008B0234"/>
    <w:rsid w:val="008B0463"/>
    <w:rsid w:val="008B089F"/>
    <w:rsid w:val="008B0E10"/>
    <w:rsid w:val="008B1659"/>
    <w:rsid w:val="008B1E79"/>
    <w:rsid w:val="008B2519"/>
    <w:rsid w:val="008B2802"/>
    <w:rsid w:val="008B2ACB"/>
    <w:rsid w:val="008B39BA"/>
    <w:rsid w:val="008B3ABA"/>
    <w:rsid w:val="008B415C"/>
    <w:rsid w:val="008B4174"/>
    <w:rsid w:val="008B4501"/>
    <w:rsid w:val="008B4857"/>
    <w:rsid w:val="008B4B7A"/>
    <w:rsid w:val="008B4D2C"/>
    <w:rsid w:val="008B5285"/>
    <w:rsid w:val="008B575F"/>
    <w:rsid w:val="008B5D12"/>
    <w:rsid w:val="008B62CB"/>
    <w:rsid w:val="008B6ACA"/>
    <w:rsid w:val="008B6C67"/>
    <w:rsid w:val="008B71EA"/>
    <w:rsid w:val="008B7439"/>
    <w:rsid w:val="008B7F25"/>
    <w:rsid w:val="008C02EE"/>
    <w:rsid w:val="008C0372"/>
    <w:rsid w:val="008C070D"/>
    <w:rsid w:val="008C07BC"/>
    <w:rsid w:val="008C0E0F"/>
    <w:rsid w:val="008C0E66"/>
    <w:rsid w:val="008C1591"/>
    <w:rsid w:val="008C1803"/>
    <w:rsid w:val="008C1893"/>
    <w:rsid w:val="008C1B7F"/>
    <w:rsid w:val="008C1C49"/>
    <w:rsid w:val="008C1E54"/>
    <w:rsid w:val="008C20E6"/>
    <w:rsid w:val="008C24D0"/>
    <w:rsid w:val="008C271D"/>
    <w:rsid w:val="008C29B9"/>
    <w:rsid w:val="008C2A0A"/>
    <w:rsid w:val="008C2B20"/>
    <w:rsid w:val="008C3716"/>
    <w:rsid w:val="008C3FD0"/>
    <w:rsid w:val="008C42B4"/>
    <w:rsid w:val="008C434C"/>
    <w:rsid w:val="008C4507"/>
    <w:rsid w:val="008C4C08"/>
    <w:rsid w:val="008C501F"/>
    <w:rsid w:val="008C51D2"/>
    <w:rsid w:val="008C523D"/>
    <w:rsid w:val="008C538F"/>
    <w:rsid w:val="008C548B"/>
    <w:rsid w:val="008C5588"/>
    <w:rsid w:val="008C5A46"/>
    <w:rsid w:val="008C5C24"/>
    <w:rsid w:val="008C60F7"/>
    <w:rsid w:val="008C629E"/>
    <w:rsid w:val="008C65ED"/>
    <w:rsid w:val="008C681A"/>
    <w:rsid w:val="008C6AA6"/>
    <w:rsid w:val="008C6EC5"/>
    <w:rsid w:val="008C6F43"/>
    <w:rsid w:val="008C7186"/>
    <w:rsid w:val="008C7756"/>
    <w:rsid w:val="008C7AB5"/>
    <w:rsid w:val="008C7D59"/>
    <w:rsid w:val="008C7E57"/>
    <w:rsid w:val="008D0318"/>
    <w:rsid w:val="008D0924"/>
    <w:rsid w:val="008D0D69"/>
    <w:rsid w:val="008D0ED7"/>
    <w:rsid w:val="008D0F0E"/>
    <w:rsid w:val="008D1152"/>
    <w:rsid w:val="008D11EC"/>
    <w:rsid w:val="008D122E"/>
    <w:rsid w:val="008D140F"/>
    <w:rsid w:val="008D177B"/>
    <w:rsid w:val="008D17B5"/>
    <w:rsid w:val="008D1CBD"/>
    <w:rsid w:val="008D1DEA"/>
    <w:rsid w:val="008D1F63"/>
    <w:rsid w:val="008D2CE3"/>
    <w:rsid w:val="008D2D3A"/>
    <w:rsid w:val="008D388A"/>
    <w:rsid w:val="008D3D8A"/>
    <w:rsid w:val="008D4004"/>
    <w:rsid w:val="008D41DC"/>
    <w:rsid w:val="008D44A9"/>
    <w:rsid w:val="008D45E7"/>
    <w:rsid w:val="008D46EF"/>
    <w:rsid w:val="008D4DE0"/>
    <w:rsid w:val="008D4FEF"/>
    <w:rsid w:val="008D5290"/>
    <w:rsid w:val="008D5CEF"/>
    <w:rsid w:val="008D5E25"/>
    <w:rsid w:val="008D5E69"/>
    <w:rsid w:val="008D608A"/>
    <w:rsid w:val="008D6256"/>
    <w:rsid w:val="008D65E4"/>
    <w:rsid w:val="008D6A3D"/>
    <w:rsid w:val="008D6E43"/>
    <w:rsid w:val="008D6E72"/>
    <w:rsid w:val="008D767E"/>
    <w:rsid w:val="008D7BEF"/>
    <w:rsid w:val="008E0B3E"/>
    <w:rsid w:val="008E1335"/>
    <w:rsid w:val="008E1343"/>
    <w:rsid w:val="008E13D0"/>
    <w:rsid w:val="008E1555"/>
    <w:rsid w:val="008E173D"/>
    <w:rsid w:val="008E1786"/>
    <w:rsid w:val="008E1824"/>
    <w:rsid w:val="008E1D56"/>
    <w:rsid w:val="008E2487"/>
    <w:rsid w:val="008E2DCA"/>
    <w:rsid w:val="008E2F2B"/>
    <w:rsid w:val="008E32D9"/>
    <w:rsid w:val="008E3DC6"/>
    <w:rsid w:val="008E41C6"/>
    <w:rsid w:val="008E4356"/>
    <w:rsid w:val="008E47C2"/>
    <w:rsid w:val="008E50B6"/>
    <w:rsid w:val="008E5194"/>
    <w:rsid w:val="008E51FF"/>
    <w:rsid w:val="008E5A01"/>
    <w:rsid w:val="008E5AF7"/>
    <w:rsid w:val="008E5DC5"/>
    <w:rsid w:val="008E7255"/>
    <w:rsid w:val="008E7343"/>
    <w:rsid w:val="008E783A"/>
    <w:rsid w:val="008E7AFC"/>
    <w:rsid w:val="008E7BF9"/>
    <w:rsid w:val="008E7EC7"/>
    <w:rsid w:val="008F0599"/>
    <w:rsid w:val="008F0AC3"/>
    <w:rsid w:val="008F0AD2"/>
    <w:rsid w:val="008F0B40"/>
    <w:rsid w:val="008F0F0E"/>
    <w:rsid w:val="008F11CE"/>
    <w:rsid w:val="008F125B"/>
    <w:rsid w:val="008F156F"/>
    <w:rsid w:val="008F1A9D"/>
    <w:rsid w:val="008F2700"/>
    <w:rsid w:val="008F3021"/>
    <w:rsid w:val="008F3149"/>
    <w:rsid w:val="008F3230"/>
    <w:rsid w:val="008F3478"/>
    <w:rsid w:val="008F36F5"/>
    <w:rsid w:val="008F3A81"/>
    <w:rsid w:val="008F46D4"/>
    <w:rsid w:val="008F4843"/>
    <w:rsid w:val="008F52C2"/>
    <w:rsid w:val="008F52D6"/>
    <w:rsid w:val="008F5909"/>
    <w:rsid w:val="008F5949"/>
    <w:rsid w:val="008F5A53"/>
    <w:rsid w:val="008F641E"/>
    <w:rsid w:val="008F69C1"/>
    <w:rsid w:val="008F6B52"/>
    <w:rsid w:val="008F6B81"/>
    <w:rsid w:val="00900233"/>
    <w:rsid w:val="009003BB"/>
    <w:rsid w:val="00900486"/>
    <w:rsid w:val="0090058B"/>
    <w:rsid w:val="00900B84"/>
    <w:rsid w:val="00901E19"/>
    <w:rsid w:val="009023E3"/>
    <w:rsid w:val="009024FF"/>
    <w:rsid w:val="00903149"/>
    <w:rsid w:val="009037E8"/>
    <w:rsid w:val="0090388F"/>
    <w:rsid w:val="009042B3"/>
    <w:rsid w:val="0090505B"/>
    <w:rsid w:val="0090557D"/>
    <w:rsid w:val="00905900"/>
    <w:rsid w:val="00905A31"/>
    <w:rsid w:val="0090622D"/>
    <w:rsid w:val="0090638A"/>
    <w:rsid w:val="009063C2"/>
    <w:rsid w:val="00906B3D"/>
    <w:rsid w:val="00906C4B"/>
    <w:rsid w:val="00907032"/>
    <w:rsid w:val="00907572"/>
    <w:rsid w:val="009077E1"/>
    <w:rsid w:val="009078E2"/>
    <w:rsid w:val="00907C1C"/>
    <w:rsid w:val="009105BB"/>
    <w:rsid w:val="00910A36"/>
    <w:rsid w:val="00910A84"/>
    <w:rsid w:val="00910BA3"/>
    <w:rsid w:val="00910C8D"/>
    <w:rsid w:val="0091154F"/>
    <w:rsid w:val="009122B7"/>
    <w:rsid w:val="00912608"/>
    <w:rsid w:val="00912A91"/>
    <w:rsid w:val="00913410"/>
    <w:rsid w:val="00914671"/>
    <w:rsid w:val="00915087"/>
    <w:rsid w:val="009154F9"/>
    <w:rsid w:val="009159A3"/>
    <w:rsid w:val="00915DDD"/>
    <w:rsid w:val="00915F0D"/>
    <w:rsid w:val="00915F30"/>
    <w:rsid w:val="00916B0A"/>
    <w:rsid w:val="0091707F"/>
    <w:rsid w:val="00917C4F"/>
    <w:rsid w:val="00917DA8"/>
    <w:rsid w:val="009201FA"/>
    <w:rsid w:val="00920280"/>
    <w:rsid w:val="0092032D"/>
    <w:rsid w:val="0092043E"/>
    <w:rsid w:val="00920491"/>
    <w:rsid w:val="0092065E"/>
    <w:rsid w:val="0092070E"/>
    <w:rsid w:val="00921154"/>
    <w:rsid w:val="00921174"/>
    <w:rsid w:val="00921365"/>
    <w:rsid w:val="009216EC"/>
    <w:rsid w:val="009219BB"/>
    <w:rsid w:val="00921A06"/>
    <w:rsid w:val="00922626"/>
    <w:rsid w:val="00922BA9"/>
    <w:rsid w:val="00922D7A"/>
    <w:rsid w:val="00922F31"/>
    <w:rsid w:val="00922F82"/>
    <w:rsid w:val="00923098"/>
    <w:rsid w:val="009232D1"/>
    <w:rsid w:val="00923572"/>
    <w:rsid w:val="009236D2"/>
    <w:rsid w:val="00924236"/>
    <w:rsid w:val="00924D00"/>
    <w:rsid w:val="009250D2"/>
    <w:rsid w:val="009258F5"/>
    <w:rsid w:val="00925CC5"/>
    <w:rsid w:val="00926044"/>
    <w:rsid w:val="009260FE"/>
    <w:rsid w:val="00926D30"/>
    <w:rsid w:val="00926EE4"/>
    <w:rsid w:val="00927265"/>
    <w:rsid w:val="00927335"/>
    <w:rsid w:val="0092757E"/>
    <w:rsid w:val="009277FE"/>
    <w:rsid w:val="009278D9"/>
    <w:rsid w:val="00927B32"/>
    <w:rsid w:val="009300FD"/>
    <w:rsid w:val="00930327"/>
    <w:rsid w:val="0093068D"/>
    <w:rsid w:val="00931788"/>
    <w:rsid w:val="00931BC5"/>
    <w:rsid w:val="00931CB5"/>
    <w:rsid w:val="00932172"/>
    <w:rsid w:val="0093275E"/>
    <w:rsid w:val="00932E74"/>
    <w:rsid w:val="00933241"/>
    <w:rsid w:val="009333C6"/>
    <w:rsid w:val="0093389D"/>
    <w:rsid w:val="009342E7"/>
    <w:rsid w:val="00934707"/>
    <w:rsid w:val="009348CE"/>
    <w:rsid w:val="00934BD9"/>
    <w:rsid w:val="009350D0"/>
    <w:rsid w:val="00935537"/>
    <w:rsid w:val="009355FE"/>
    <w:rsid w:val="009359B1"/>
    <w:rsid w:val="009359E0"/>
    <w:rsid w:val="00935A28"/>
    <w:rsid w:val="00936627"/>
    <w:rsid w:val="0093684E"/>
    <w:rsid w:val="00937725"/>
    <w:rsid w:val="009377F0"/>
    <w:rsid w:val="00937E6C"/>
    <w:rsid w:val="00937F6F"/>
    <w:rsid w:val="00937FAB"/>
    <w:rsid w:val="0094002F"/>
    <w:rsid w:val="009403AC"/>
    <w:rsid w:val="00940856"/>
    <w:rsid w:val="00941C83"/>
    <w:rsid w:val="00941F81"/>
    <w:rsid w:val="00942116"/>
    <w:rsid w:val="0094288C"/>
    <w:rsid w:val="00942B06"/>
    <w:rsid w:val="00942F5D"/>
    <w:rsid w:val="009436FA"/>
    <w:rsid w:val="0094446F"/>
    <w:rsid w:val="0094450A"/>
    <w:rsid w:val="00944735"/>
    <w:rsid w:val="0094489E"/>
    <w:rsid w:val="00945DF9"/>
    <w:rsid w:val="00945FB7"/>
    <w:rsid w:val="00946086"/>
    <w:rsid w:val="00946590"/>
    <w:rsid w:val="0094736B"/>
    <w:rsid w:val="00947528"/>
    <w:rsid w:val="0094788D"/>
    <w:rsid w:val="00947AC5"/>
    <w:rsid w:val="00947CE0"/>
    <w:rsid w:val="00950154"/>
    <w:rsid w:val="00950464"/>
    <w:rsid w:val="009507A2"/>
    <w:rsid w:val="00950ADA"/>
    <w:rsid w:val="009513E9"/>
    <w:rsid w:val="00951819"/>
    <w:rsid w:val="00951E0E"/>
    <w:rsid w:val="00952001"/>
    <w:rsid w:val="0095208B"/>
    <w:rsid w:val="009520AB"/>
    <w:rsid w:val="009524D1"/>
    <w:rsid w:val="009525A7"/>
    <w:rsid w:val="009527E4"/>
    <w:rsid w:val="0095293D"/>
    <w:rsid w:val="009529B7"/>
    <w:rsid w:val="00952A97"/>
    <w:rsid w:val="00953016"/>
    <w:rsid w:val="00953B50"/>
    <w:rsid w:val="00953D02"/>
    <w:rsid w:val="00953ED5"/>
    <w:rsid w:val="00954009"/>
    <w:rsid w:val="009547B2"/>
    <w:rsid w:val="00954887"/>
    <w:rsid w:val="00954BAB"/>
    <w:rsid w:val="00954C28"/>
    <w:rsid w:val="00954E94"/>
    <w:rsid w:val="00955131"/>
    <w:rsid w:val="009551A1"/>
    <w:rsid w:val="00955244"/>
    <w:rsid w:val="009555AD"/>
    <w:rsid w:val="0095582C"/>
    <w:rsid w:val="00955E31"/>
    <w:rsid w:val="0095630D"/>
    <w:rsid w:val="00956479"/>
    <w:rsid w:val="0095681D"/>
    <w:rsid w:val="00956AB2"/>
    <w:rsid w:val="00956BDC"/>
    <w:rsid w:val="00956C04"/>
    <w:rsid w:val="009575C0"/>
    <w:rsid w:val="00957A0D"/>
    <w:rsid w:val="00957BF3"/>
    <w:rsid w:val="00957F64"/>
    <w:rsid w:val="0096001A"/>
    <w:rsid w:val="00960109"/>
    <w:rsid w:val="00960352"/>
    <w:rsid w:val="009603CF"/>
    <w:rsid w:val="00960446"/>
    <w:rsid w:val="00960E68"/>
    <w:rsid w:val="0096129D"/>
    <w:rsid w:val="009617C1"/>
    <w:rsid w:val="00961F4B"/>
    <w:rsid w:val="00961FA9"/>
    <w:rsid w:val="0096222C"/>
    <w:rsid w:val="00962378"/>
    <w:rsid w:val="00962558"/>
    <w:rsid w:val="009625B6"/>
    <w:rsid w:val="009626F9"/>
    <w:rsid w:val="009627BE"/>
    <w:rsid w:val="009631EC"/>
    <w:rsid w:val="009633AB"/>
    <w:rsid w:val="00963491"/>
    <w:rsid w:val="00963A31"/>
    <w:rsid w:val="00963B06"/>
    <w:rsid w:val="009643DE"/>
    <w:rsid w:val="00964487"/>
    <w:rsid w:val="00964A68"/>
    <w:rsid w:val="00965138"/>
    <w:rsid w:val="009657A4"/>
    <w:rsid w:val="00965EAA"/>
    <w:rsid w:val="0096604E"/>
    <w:rsid w:val="009661CB"/>
    <w:rsid w:val="009663C6"/>
    <w:rsid w:val="00966B55"/>
    <w:rsid w:val="00967560"/>
    <w:rsid w:val="00967801"/>
    <w:rsid w:val="009679F8"/>
    <w:rsid w:val="00967B67"/>
    <w:rsid w:val="00967BAB"/>
    <w:rsid w:val="00967D92"/>
    <w:rsid w:val="00967DC2"/>
    <w:rsid w:val="009702F3"/>
    <w:rsid w:val="0097040C"/>
    <w:rsid w:val="00970C14"/>
    <w:rsid w:val="0097126C"/>
    <w:rsid w:val="009712B5"/>
    <w:rsid w:val="0097162D"/>
    <w:rsid w:val="00971732"/>
    <w:rsid w:val="009718F3"/>
    <w:rsid w:val="00971984"/>
    <w:rsid w:val="00971E16"/>
    <w:rsid w:val="00971E9F"/>
    <w:rsid w:val="0097216C"/>
    <w:rsid w:val="009724F9"/>
    <w:rsid w:val="00972596"/>
    <w:rsid w:val="00972CFC"/>
    <w:rsid w:val="00972D00"/>
    <w:rsid w:val="00972FC2"/>
    <w:rsid w:val="00972FC4"/>
    <w:rsid w:val="009730D4"/>
    <w:rsid w:val="0097333D"/>
    <w:rsid w:val="0097334C"/>
    <w:rsid w:val="009733B7"/>
    <w:rsid w:val="009739D5"/>
    <w:rsid w:val="00973A8C"/>
    <w:rsid w:val="00973F52"/>
    <w:rsid w:val="0097464F"/>
    <w:rsid w:val="00974B16"/>
    <w:rsid w:val="00975091"/>
    <w:rsid w:val="00975673"/>
    <w:rsid w:val="00975F1B"/>
    <w:rsid w:val="00976190"/>
    <w:rsid w:val="009765EE"/>
    <w:rsid w:val="00977450"/>
    <w:rsid w:val="00977591"/>
    <w:rsid w:val="00977B7C"/>
    <w:rsid w:val="0098032E"/>
    <w:rsid w:val="0098059B"/>
    <w:rsid w:val="00981191"/>
    <w:rsid w:val="00981697"/>
    <w:rsid w:val="00981703"/>
    <w:rsid w:val="00981B55"/>
    <w:rsid w:val="00981E84"/>
    <w:rsid w:val="00981EB1"/>
    <w:rsid w:val="0098245E"/>
    <w:rsid w:val="009828F1"/>
    <w:rsid w:val="00982963"/>
    <w:rsid w:val="00982D73"/>
    <w:rsid w:val="00982F79"/>
    <w:rsid w:val="00983348"/>
    <w:rsid w:val="00983438"/>
    <w:rsid w:val="0098377E"/>
    <w:rsid w:val="009839CE"/>
    <w:rsid w:val="00983F96"/>
    <w:rsid w:val="00984A4D"/>
    <w:rsid w:val="00984C32"/>
    <w:rsid w:val="00984D13"/>
    <w:rsid w:val="0098539F"/>
    <w:rsid w:val="0098559E"/>
    <w:rsid w:val="009859EF"/>
    <w:rsid w:val="00985A63"/>
    <w:rsid w:val="00985DF9"/>
    <w:rsid w:val="00985EBF"/>
    <w:rsid w:val="00986225"/>
    <w:rsid w:val="00986AF4"/>
    <w:rsid w:val="00986E30"/>
    <w:rsid w:val="0098738B"/>
    <w:rsid w:val="0098750A"/>
    <w:rsid w:val="00987671"/>
    <w:rsid w:val="00987909"/>
    <w:rsid w:val="00987B88"/>
    <w:rsid w:val="00987D0F"/>
    <w:rsid w:val="00987F04"/>
    <w:rsid w:val="00990126"/>
    <w:rsid w:val="00990D51"/>
    <w:rsid w:val="00990EA7"/>
    <w:rsid w:val="0099102E"/>
    <w:rsid w:val="0099126F"/>
    <w:rsid w:val="00991926"/>
    <w:rsid w:val="00991AB6"/>
    <w:rsid w:val="00992170"/>
    <w:rsid w:val="00992331"/>
    <w:rsid w:val="009923B3"/>
    <w:rsid w:val="00992E38"/>
    <w:rsid w:val="009933D7"/>
    <w:rsid w:val="00993633"/>
    <w:rsid w:val="00993875"/>
    <w:rsid w:val="00994572"/>
    <w:rsid w:val="00994A10"/>
    <w:rsid w:val="00994CE9"/>
    <w:rsid w:val="00996046"/>
    <w:rsid w:val="00996608"/>
    <w:rsid w:val="00996F51"/>
    <w:rsid w:val="00997043"/>
    <w:rsid w:val="00997157"/>
    <w:rsid w:val="009976C0"/>
    <w:rsid w:val="00997BFE"/>
    <w:rsid w:val="009A0C8F"/>
    <w:rsid w:val="009A1879"/>
    <w:rsid w:val="009A1A6C"/>
    <w:rsid w:val="009A1B09"/>
    <w:rsid w:val="009A1E68"/>
    <w:rsid w:val="009A2136"/>
    <w:rsid w:val="009A30FD"/>
    <w:rsid w:val="009A3275"/>
    <w:rsid w:val="009A3348"/>
    <w:rsid w:val="009A3467"/>
    <w:rsid w:val="009A35FD"/>
    <w:rsid w:val="009A3831"/>
    <w:rsid w:val="009A3B17"/>
    <w:rsid w:val="009A4281"/>
    <w:rsid w:val="009A441A"/>
    <w:rsid w:val="009A478E"/>
    <w:rsid w:val="009A49CD"/>
    <w:rsid w:val="009A49D9"/>
    <w:rsid w:val="009A5102"/>
    <w:rsid w:val="009A5322"/>
    <w:rsid w:val="009A5380"/>
    <w:rsid w:val="009A546F"/>
    <w:rsid w:val="009A5531"/>
    <w:rsid w:val="009A5535"/>
    <w:rsid w:val="009A5700"/>
    <w:rsid w:val="009A57CB"/>
    <w:rsid w:val="009A64C1"/>
    <w:rsid w:val="009A6B21"/>
    <w:rsid w:val="009A6CE3"/>
    <w:rsid w:val="009A6DCD"/>
    <w:rsid w:val="009A6E6B"/>
    <w:rsid w:val="009A703A"/>
    <w:rsid w:val="009A70B4"/>
    <w:rsid w:val="009A7452"/>
    <w:rsid w:val="009A7474"/>
    <w:rsid w:val="009A7599"/>
    <w:rsid w:val="009B00A4"/>
    <w:rsid w:val="009B06F2"/>
    <w:rsid w:val="009B0B98"/>
    <w:rsid w:val="009B0E0B"/>
    <w:rsid w:val="009B191C"/>
    <w:rsid w:val="009B2CC6"/>
    <w:rsid w:val="009B3083"/>
    <w:rsid w:val="009B3D2F"/>
    <w:rsid w:val="009B3E94"/>
    <w:rsid w:val="009B4153"/>
    <w:rsid w:val="009B447E"/>
    <w:rsid w:val="009B4D5A"/>
    <w:rsid w:val="009B53AC"/>
    <w:rsid w:val="009B5CAD"/>
    <w:rsid w:val="009B5D61"/>
    <w:rsid w:val="009B5FF5"/>
    <w:rsid w:val="009B6342"/>
    <w:rsid w:val="009B68EF"/>
    <w:rsid w:val="009B6993"/>
    <w:rsid w:val="009B6B69"/>
    <w:rsid w:val="009B6DB1"/>
    <w:rsid w:val="009B7277"/>
    <w:rsid w:val="009B7555"/>
    <w:rsid w:val="009B7BE0"/>
    <w:rsid w:val="009B7CE2"/>
    <w:rsid w:val="009C0705"/>
    <w:rsid w:val="009C08AF"/>
    <w:rsid w:val="009C0ABA"/>
    <w:rsid w:val="009C0CF1"/>
    <w:rsid w:val="009C1027"/>
    <w:rsid w:val="009C10A6"/>
    <w:rsid w:val="009C114A"/>
    <w:rsid w:val="009C12D4"/>
    <w:rsid w:val="009C1626"/>
    <w:rsid w:val="009C239A"/>
    <w:rsid w:val="009C25B1"/>
    <w:rsid w:val="009C29FF"/>
    <w:rsid w:val="009C2BE3"/>
    <w:rsid w:val="009C30F2"/>
    <w:rsid w:val="009C360D"/>
    <w:rsid w:val="009C37EF"/>
    <w:rsid w:val="009C3988"/>
    <w:rsid w:val="009C3BBD"/>
    <w:rsid w:val="009C40DF"/>
    <w:rsid w:val="009C4467"/>
    <w:rsid w:val="009C45D8"/>
    <w:rsid w:val="009C46B1"/>
    <w:rsid w:val="009C4A6A"/>
    <w:rsid w:val="009C4B3A"/>
    <w:rsid w:val="009C4CE7"/>
    <w:rsid w:val="009C5003"/>
    <w:rsid w:val="009C520C"/>
    <w:rsid w:val="009C543A"/>
    <w:rsid w:val="009C55DD"/>
    <w:rsid w:val="009C5916"/>
    <w:rsid w:val="009C5B28"/>
    <w:rsid w:val="009C5BDA"/>
    <w:rsid w:val="009C5E10"/>
    <w:rsid w:val="009C5F1E"/>
    <w:rsid w:val="009C68ED"/>
    <w:rsid w:val="009C6F75"/>
    <w:rsid w:val="009C7667"/>
    <w:rsid w:val="009C772F"/>
    <w:rsid w:val="009C7AAB"/>
    <w:rsid w:val="009C7C91"/>
    <w:rsid w:val="009C7D71"/>
    <w:rsid w:val="009D0B0D"/>
    <w:rsid w:val="009D0FAB"/>
    <w:rsid w:val="009D1140"/>
    <w:rsid w:val="009D1202"/>
    <w:rsid w:val="009D1352"/>
    <w:rsid w:val="009D1F5B"/>
    <w:rsid w:val="009D244B"/>
    <w:rsid w:val="009D25A9"/>
    <w:rsid w:val="009D2884"/>
    <w:rsid w:val="009D331B"/>
    <w:rsid w:val="009D3494"/>
    <w:rsid w:val="009D3989"/>
    <w:rsid w:val="009D3C47"/>
    <w:rsid w:val="009D3C6E"/>
    <w:rsid w:val="009D3DE6"/>
    <w:rsid w:val="009D45A5"/>
    <w:rsid w:val="009D46A9"/>
    <w:rsid w:val="009D48BF"/>
    <w:rsid w:val="009D4941"/>
    <w:rsid w:val="009D4A12"/>
    <w:rsid w:val="009D4B34"/>
    <w:rsid w:val="009D5287"/>
    <w:rsid w:val="009D52CD"/>
    <w:rsid w:val="009D53EB"/>
    <w:rsid w:val="009D54C8"/>
    <w:rsid w:val="009D5955"/>
    <w:rsid w:val="009D5B7C"/>
    <w:rsid w:val="009D5EDB"/>
    <w:rsid w:val="009D6173"/>
    <w:rsid w:val="009D63B2"/>
    <w:rsid w:val="009D655F"/>
    <w:rsid w:val="009D6A51"/>
    <w:rsid w:val="009D6DCD"/>
    <w:rsid w:val="009D6F25"/>
    <w:rsid w:val="009D721B"/>
    <w:rsid w:val="009D745C"/>
    <w:rsid w:val="009D74C3"/>
    <w:rsid w:val="009D76A5"/>
    <w:rsid w:val="009D7E91"/>
    <w:rsid w:val="009D7EB0"/>
    <w:rsid w:val="009E0533"/>
    <w:rsid w:val="009E05F1"/>
    <w:rsid w:val="009E1A6E"/>
    <w:rsid w:val="009E1EB9"/>
    <w:rsid w:val="009E205B"/>
    <w:rsid w:val="009E2313"/>
    <w:rsid w:val="009E2589"/>
    <w:rsid w:val="009E28D5"/>
    <w:rsid w:val="009E2B8C"/>
    <w:rsid w:val="009E2D40"/>
    <w:rsid w:val="009E2DA8"/>
    <w:rsid w:val="009E3327"/>
    <w:rsid w:val="009E3490"/>
    <w:rsid w:val="009E38AD"/>
    <w:rsid w:val="009E38F6"/>
    <w:rsid w:val="009E3CFD"/>
    <w:rsid w:val="009E4B58"/>
    <w:rsid w:val="009E4BA1"/>
    <w:rsid w:val="009E4DA9"/>
    <w:rsid w:val="009E4FCE"/>
    <w:rsid w:val="009E53DF"/>
    <w:rsid w:val="009E5C23"/>
    <w:rsid w:val="009E5C64"/>
    <w:rsid w:val="009E5D45"/>
    <w:rsid w:val="009E5FB3"/>
    <w:rsid w:val="009E6635"/>
    <w:rsid w:val="009E6756"/>
    <w:rsid w:val="009E6A33"/>
    <w:rsid w:val="009E6CEF"/>
    <w:rsid w:val="009E7158"/>
    <w:rsid w:val="009F004C"/>
    <w:rsid w:val="009F03AC"/>
    <w:rsid w:val="009F0644"/>
    <w:rsid w:val="009F09A0"/>
    <w:rsid w:val="009F0B5E"/>
    <w:rsid w:val="009F0DBA"/>
    <w:rsid w:val="009F0E56"/>
    <w:rsid w:val="009F0F19"/>
    <w:rsid w:val="009F1E46"/>
    <w:rsid w:val="009F2569"/>
    <w:rsid w:val="009F2622"/>
    <w:rsid w:val="009F27AE"/>
    <w:rsid w:val="009F2C2C"/>
    <w:rsid w:val="009F3BFA"/>
    <w:rsid w:val="009F4956"/>
    <w:rsid w:val="009F4AB7"/>
    <w:rsid w:val="009F4C3E"/>
    <w:rsid w:val="009F4EB4"/>
    <w:rsid w:val="009F5602"/>
    <w:rsid w:val="009F6183"/>
    <w:rsid w:val="009F6242"/>
    <w:rsid w:val="009F671A"/>
    <w:rsid w:val="009F674F"/>
    <w:rsid w:val="009F6765"/>
    <w:rsid w:val="009F67D1"/>
    <w:rsid w:val="009F6842"/>
    <w:rsid w:val="009F68ED"/>
    <w:rsid w:val="009F6D0C"/>
    <w:rsid w:val="009F7054"/>
    <w:rsid w:val="009F7366"/>
    <w:rsid w:val="009F75AD"/>
    <w:rsid w:val="009F7769"/>
    <w:rsid w:val="00A00513"/>
    <w:rsid w:val="00A00E80"/>
    <w:rsid w:val="00A00EA6"/>
    <w:rsid w:val="00A01C2E"/>
    <w:rsid w:val="00A01F64"/>
    <w:rsid w:val="00A02293"/>
    <w:rsid w:val="00A022DC"/>
    <w:rsid w:val="00A02345"/>
    <w:rsid w:val="00A023AB"/>
    <w:rsid w:val="00A0281B"/>
    <w:rsid w:val="00A0286D"/>
    <w:rsid w:val="00A02897"/>
    <w:rsid w:val="00A02A0D"/>
    <w:rsid w:val="00A0301D"/>
    <w:rsid w:val="00A0392C"/>
    <w:rsid w:val="00A03984"/>
    <w:rsid w:val="00A03B1E"/>
    <w:rsid w:val="00A041B9"/>
    <w:rsid w:val="00A0423C"/>
    <w:rsid w:val="00A0484A"/>
    <w:rsid w:val="00A05114"/>
    <w:rsid w:val="00A05335"/>
    <w:rsid w:val="00A05540"/>
    <w:rsid w:val="00A058EC"/>
    <w:rsid w:val="00A05997"/>
    <w:rsid w:val="00A05BA3"/>
    <w:rsid w:val="00A06050"/>
    <w:rsid w:val="00A06133"/>
    <w:rsid w:val="00A06452"/>
    <w:rsid w:val="00A06B8E"/>
    <w:rsid w:val="00A06B94"/>
    <w:rsid w:val="00A073DF"/>
    <w:rsid w:val="00A076DE"/>
    <w:rsid w:val="00A07D71"/>
    <w:rsid w:val="00A10D9C"/>
    <w:rsid w:val="00A11C74"/>
    <w:rsid w:val="00A11C9E"/>
    <w:rsid w:val="00A11D6A"/>
    <w:rsid w:val="00A11D91"/>
    <w:rsid w:val="00A12A33"/>
    <w:rsid w:val="00A12AC3"/>
    <w:rsid w:val="00A12BA3"/>
    <w:rsid w:val="00A12BE8"/>
    <w:rsid w:val="00A12C3A"/>
    <w:rsid w:val="00A134F7"/>
    <w:rsid w:val="00A13FC8"/>
    <w:rsid w:val="00A146ED"/>
    <w:rsid w:val="00A148CF"/>
    <w:rsid w:val="00A14C96"/>
    <w:rsid w:val="00A15468"/>
    <w:rsid w:val="00A15C63"/>
    <w:rsid w:val="00A15D86"/>
    <w:rsid w:val="00A15E36"/>
    <w:rsid w:val="00A15F9A"/>
    <w:rsid w:val="00A16EC3"/>
    <w:rsid w:val="00A17135"/>
    <w:rsid w:val="00A175CB"/>
    <w:rsid w:val="00A17ED2"/>
    <w:rsid w:val="00A2004F"/>
    <w:rsid w:val="00A2034B"/>
    <w:rsid w:val="00A207FD"/>
    <w:rsid w:val="00A20A19"/>
    <w:rsid w:val="00A20C35"/>
    <w:rsid w:val="00A20CB7"/>
    <w:rsid w:val="00A21178"/>
    <w:rsid w:val="00A21503"/>
    <w:rsid w:val="00A22159"/>
    <w:rsid w:val="00A2227D"/>
    <w:rsid w:val="00A22547"/>
    <w:rsid w:val="00A22812"/>
    <w:rsid w:val="00A22BC1"/>
    <w:rsid w:val="00A231F0"/>
    <w:rsid w:val="00A233EE"/>
    <w:rsid w:val="00A23494"/>
    <w:rsid w:val="00A24312"/>
    <w:rsid w:val="00A245BD"/>
    <w:rsid w:val="00A246DC"/>
    <w:rsid w:val="00A2480F"/>
    <w:rsid w:val="00A250C2"/>
    <w:rsid w:val="00A2528E"/>
    <w:rsid w:val="00A2567C"/>
    <w:rsid w:val="00A25957"/>
    <w:rsid w:val="00A260B0"/>
    <w:rsid w:val="00A260C2"/>
    <w:rsid w:val="00A2631B"/>
    <w:rsid w:val="00A26D1F"/>
    <w:rsid w:val="00A27209"/>
    <w:rsid w:val="00A27435"/>
    <w:rsid w:val="00A27800"/>
    <w:rsid w:val="00A27808"/>
    <w:rsid w:val="00A27B09"/>
    <w:rsid w:val="00A301D9"/>
    <w:rsid w:val="00A30487"/>
    <w:rsid w:val="00A3054A"/>
    <w:rsid w:val="00A307C2"/>
    <w:rsid w:val="00A308BC"/>
    <w:rsid w:val="00A30A66"/>
    <w:rsid w:val="00A313C6"/>
    <w:rsid w:val="00A31814"/>
    <w:rsid w:val="00A31944"/>
    <w:rsid w:val="00A31F1F"/>
    <w:rsid w:val="00A328C1"/>
    <w:rsid w:val="00A3296F"/>
    <w:rsid w:val="00A33339"/>
    <w:rsid w:val="00A33A89"/>
    <w:rsid w:val="00A33BBD"/>
    <w:rsid w:val="00A33D4C"/>
    <w:rsid w:val="00A34838"/>
    <w:rsid w:val="00A348D9"/>
    <w:rsid w:val="00A34F51"/>
    <w:rsid w:val="00A3538F"/>
    <w:rsid w:val="00A356A7"/>
    <w:rsid w:val="00A356BD"/>
    <w:rsid w:val="00A35BFF"/>
    <w:rsid w:val="00A35D1A"/>
    <w:rsid w:val="00A35DA5"/>
    <w:rsid w:val="00A3676A"/>
    <w:rsid w:val="00A36B8D"/>
    <w:rsid w:val="00A36DF7"/>
    <w:rsid w:val="00A37507"/>
    <w:rsid w:val="00A377B3"/>
    <w:rsid w:val="00A377FF"/>
    <w:rsid w:val="00A37B4D"/>
    <w:rsid w:val="00A37D15"/>
    <w:rsid w:val="00A37E5D"/>
    <w:rsid w:val="00A40293"/>
    <w:rsid w:val="00A402C3"/>
    <w:rsid w:val="00A409EB"/>
    <w:rsid w:val="00A414DD"/>
    <w:rsid w:val="00A41817"/>
    <w:rsid w:val="00A4199D"/>
    <w:rsid w:val="00A41AC7"/>
    <w:rsid w:val="00A41BC4"/>
    <w:rsid w:val="00A41C82"/>
    <w:rsid w:val="00A422C2"/>
    <w:rsid w:val="00A4251B"/>
    <w:rsid w:val="00A4330B"/>
    <w:rsid w:val="00A437D5"/>
    <w:rsid w:val="00A44355"/>
    <w:rsid w:val="00A4469A"/>
    <w:rsid w:val="00A44FA5"/>
    <w:rsid w:val="00A45526"/>
    <w:rsid w:val="00A457AA"/>
    <w:rsid w:val="00A45859"/>
    <w:rsid w:val="00A45921"/>
    <w:rsid w:val="00A45BD6"/>
    <w:rsid w:val="00A45F41"/>
    <w:rsid w:val="00A460AD"/>
    <w:rsid w:val="00A462F0"/>
    <w:rsid w:val="00A46626"/>
    <w:rsid w:val="00A469FA"/>
    <w:rsid w:val="00A46D8A"/>
    <w:rsid w:val="00A4704F"/>
    <w:rsid w:val="00A47F40"/>
    <w:rsid w:val="00A50826"/>
    <w:rsid w:val="00A50920"/>
    <w:rsid w:val="00A50D3B"/>
    <w:rsid w:val="00A50E55"/>
    <w:rsid w:val="00A517B5"/>
    <w:rsid w:val="00A51A63"/>
    <w:rsid w:val="00A51B2F"/>
    <w:rsid w:val="00A524A1"/>
    <w:rsid w:val="00A52920"/>
    <w:rsid w:val="00A52BC9"/>
    <w:rsid w:val="00A52D5B"/>
    <w:rsid w:val="00A53C0D"/>
    <w:rsid w:val="00A53D0F"/>
    <w:rsid w:val="00A53E2D"/>
    <w:rsid w:val="00A54625"/>
    <w:rsid w:val="00A54F26"/>
    <w:rsid w:val="00A54F5B"/>
    <w:rsid w:val="00A55116"/>
    <w:rsid w:val="00A558A9"/>
    <w:rsid w:val="00A55BD5"/>
    <w:rsid w:val="00A55CCB"/>
    <w:rsid w:val="00A55E79"/>
    <w:rsid w:val="00A56050"/>
    <w:rsid w:val="00A56057"/>
    <w:rsid w:val="00A56393"/>
    <w:rsid w:val="00A56572"/>
    <w:rsid w:val="00A56593"/>
    <w:rsid w:val="00A56DD4"/>
    <w:rsid w:val="00A56E13"/>
    <w:rsid w:val="00A56EDA"/>
    <w:rsid w:val="00A5766B"/>
    <w:rsid w:val="00A5793A"/>
    <w:rsid w:val="00A604BA"/>
    <w:rsid w:val="00A60788"/>
    <w:rsid w:val="00A60AAF"/>
    <w:rsid w:val="00A61124"/>
    <w:rsid w:val="00A6126A"/>
    <w:rsid w:val="00A6157B"/>
    <w:rsid w:val="00A61F00"/>
    <w:rsid w:val="00A62033"/>
    <w:rsid w:val="00A6247A"/>
    <w:rsid w:val="00A630A2"/>
    <w:rsid w:val="00A6361E"/>
    <w:rsid w:val="00A63680"/>
    <w:rsid w:val="00A63830"/>
    <w:rsid w:val="00A63A0D"/>
    <w:rsid w:val="00A63F95"/>
    <w:rsid w:val="00A64292"/>
    <w:rsid w:val="00A648D8"/>
    <w:rsid w:val="00A65194"/>
    <w:rsid w:val="00A654C0"/>
    <w:rsid w:val="00A65500"/>
    <w:rsid w:val="00A65924"/>
    <w:rsid w:val="00A65EEE"/>
    <w:rsid w:val="00A6612D"/>
    <w:rsid w:val="00A66223"/>
    <w:rsid w:val="00A6628F"/>
    <w:rsid w:val="00A66674"/>
    <w:rsid w:val="00A666FF"/>
    <w:rsid w:val="00A667B8"/>
    <w:rsid w:val="00A66ABA"/>
    <w:rsid w:val="00A66F1C"/>
    <w:rsid w:val="00A6729A"/>
    <w:rsid w:val="00A6751E"/>
    <w:rsid w:val="00A678E8"/>
    <w:rsid w:val="00A67D88"/>
    <w:rsid w:val="00A70116"/>
    <w:rsid w:val="00A70221"/>
    <w:rsid w:val="00A70BDD"/>
    <w:rsid w:val="00A7167D"/>
    <w:rsid w:val="00A72AE9"/>
    <w:rsid w:val="00A72E1F"/>
    <w:rsid w:val="00A73492"/>
    <w:rsid w:val="00A740B3"/>
    <w:rsid w:val="00A74403"/>
    <w:rsid w:val="00A745CA"/>
    <w:rsid w:val="00A74691"/>
    <w:rsid w:val="00A74AFE"/>
    <w:rsid w:val="00A7553D"/>
    <w:rsid w:val="00A75674"/>
    <w:rsid w:val="00A7579A"/>
    <w:rsid w:val="00A75A3C"/>
    <w:rsid w:val="00A75CD4"/>
    <w:rsid w:val="00A762EB"/>
    <w:rsid w:val="00A763C3"/>
    <w:rsid w:val="00A76920"/>
    <w:rsid w:val="00A769D5"/>
    <w:rsid w:val="00A76D45"/>
    <w:rsid w:val="00A7724B"/>
    <w:rsid w:val="00A775B1"/>
    <w:rsid w:val="00A7785D"/>
    <w:rsid w:val="00A77BF7"/>
    <w:rsid w:val="00A811F5"/>
    <w:rsid w:val="00A81457"/>
    <w:rsid w:val="00A819E1"/>
    <w:rsid w:val="00A81ED6"/>
    <w:rsid w:val="00A82573"/>
    <w:rsid w:val="00A8263B"/>
    <w:rsid w:val="00A82EDA"/>
    <w:rsid w:val="00A82EF0"/>
    <w:rsid w:val="00A83042"/>
    <w:rsid w:val="00A8359A"/>
    <w:rsid w:val="00A83844"/>
    <w:rsid w:val="00A8398F"/>
    <w:rsid w:val="00A84E9F"/>
    <w:rsid w:val="00A8528D"/>
    <w:rsid w:val="00A85567"/>
    <w:rsid w:val="00A856DC"/>
    <w:rsid w:val="00A85A96"/>
    <w:rsid w:val="00A85AE0"/>
    <w:rsid w:val="00A8639C"/>
    <w:rsid w:val="00A864CA"/>
    <w:rsid w:val="00A8711D"/>
    <w:rsid w:val="00A87214"/>
    <w:rsid w:val="00A87377"/>
    <w:rsid w:val="00A87891"/>
    <w:rsid w:val="00A9024A"/>
    <w:rsid w:val="00A90676"/>
    <w:rsid w:val="00A90EC7"/>
    <w:rsid w:val="00A90FCE"/>
    <w:rsid w:val="00A91493"/>
    <w:rsid w:val="00A92028"/>
    <w:rsid w:val="00A927B1"/>
    <w:rsid w:val="00A92DEA"/>
    <w:rsid w:val="00A92EB3"/>
    <w:rsid w:val="00A93001"/>
    <w:rsid w:val="00A9366C"/>
    <w:rsid w:val="00A93BE1"/>
    <w:rsid w:val="00A93C70"/>
    <w:rsid w:val="00A93EBE"/>
    <w:rsid w:val="00A94004"/>
    <w:rsid w:val="00A9427E"/>
    <w:rsid w:val="00A94669"/>
    <w:rsid w:val="00A94796"/>
    <w:rsid w:val="00A95391"/>
    <w:rsid w:val="00A95CB7"/>
    <w:rsid w:val="00A95F76"/>
    <w:rsid w:val="00A96023"/>
    <w:rsid w:val="00A96430"/>
    <w:rsid w:val="00A9653E"/>
    <w:rsid w:val="00A968A5"/>
    <w:rsid w:val="00A96DD9"/>
    <w:rsid w:val="00A96DF2"/>
    <w:rsid w:val="00A96E63"/>
    <w:rsid w:val="00A96EB9"/>
    <w:rsid w:val="00A96EDD"/>
    <w:rsid w:val="00A96FF8"/>
    <w:rsid w:val="00A9726A"/>
    <w:rsid w:val="00A976D8"/>
    <w:rsid w:val="00A9781C"/>
    <w:rsid w:val="00A97CF4"/>
    <w:rsid w:val="00AA016C"/>
    <w:rsid w:val="00AA018F"/>
    <w:rsid w:val="00AA0401"/>
    <w:rsid w:val="00AA04F1"/>
    <w:rsid w:val="00AA06E9"/>
    <w:rsid w:val="00AA06F4"/>
    <w:rsid w:val="00AA07B3"/>
    <w:rsid w:val="00AA089E"/>
    <w:rsid w:val="00AA0B35"/>
    <w:rsid w:val="00AA117E"/>
    <w:rsid w:val="00AA1247"/>
    <w:rsid w:val="00AA1AEF"/>
    <w:rsid w:val="00AA1D32"/>
    <w:rsid w:val="00AA20C9"/>
    <w:rsid w:val="00AA256A"/>
    <w:rsid w:val="00AA2572"/>
    <w:rsid w:val="00AA25F0"/>
    <w:rsid w:val="00AA2AB6"/>
    <w:rsid w:val="00AA2CAB"/>
    <w:rsid w:val="00AA2CAD"/>
    <w:rsid w:val="00AA370A"/>
    <w:rsid w:val="00AA39D6"/>
    <w:rsid w:val="00AA3D0B"/>
    <w:rsid w:val="00AA486C"/>
    <w:rsid w:val="00AA4EEF"/>
    <w:rsid w:val="00AA54AF"/>
    <w:rsid w:val="00AA5A14"/>
    <w:rsid w:val="00AA6765"/>
    <w:rsid w:val="00AA69B1"/>
    <w:rsid w:val="00AA6A54"/>
    <w:rsid w:val="00AA6E2A"/>
    <w:rsid w:val="00AA74EA"/>
    <w:rsid w:val="00AA789F"/>
    <w:rsid w:val="00AA7A6D"/>
    <w:rsid w:val="00AB00F0"/>
    <w:rsid w:val="00AB00FA"/>
    <w:rsid w:val="00AB015E"/>
    <w:rsid w:val="00AB0222"/>
    <w:rsid w:val="00AB055E"/>
    <w:rsid w:val="00AB07D8"/>
    <w:rsid w:val="00AB07DC"/>
    <w:rsid w:val="00AB0D37"/>
    <w:rsid w:val="00AB0FF1"/>
    <w:rsid w:val="00AB1435"/>
    <w:rsid w:val="00AB14DA"/>
    <w:rsid w:val="00AB15D5"/>
    <w:rsid w:val="00AB1932"/>
    <w:rsid w:val="00AB1952"/>
    <w:rsid w:val="00AB1B4E"/>
    <w:rsid w:val="00AB1C1E"/>
    <w:rsid w:val="00AB21CF"/>
    <w:rsid w:val="00AB2590"/>
    <w:rsid w:val="00AB2B5E"/>
    <w:rsid w:val="00AB2BCC"/>
    <w:rsid w:val="00AB2E08"/>
    <w:rsid w:val="00AB2E1B"/>
    <w:rsid w:val="00AB3484"/>
    <w:rsid w:val="00AB34C6"/>
    <w:rsid w:val="00AB35FC"/>
    <w:rsid w:val="00AB368B"/>
    <w:rsid w:val="00AB37B0"/>
    <w:rsid w:val="00AB3A74"/>
    <w:rsid w:val="00AB3C66"/>
    <w:rsid w:val="00AB41E1"/>
    <w:rsid w:val="00AB43BF"/>
    <w:rsid w:val="00AB471C"/>
    <w:rsid w:val="00AB47CE"/>
    <w:rsid w:val="00AB489B"/>
    <w:rsid w:val="00AB4A2D"/>
    <w:rsid w:val="00AB4A7F"/>
    <w:rsid w:val="00AB4AE1"/>
    <w:rsid w:val="00AB55AF"/>
    <w:rsid w:val="00AB55E3"/>
    <w:rsid w:val="00AB5B02"/>
    <w:rsid w:val="00AB5ECA"/>
    <w:rsid w:val="00AB5F13"/>
    <w:rsid w:val="00AB5F7B"/>
    <w:rsid w:val="00AB5F82"/>
    <w:rsid w:val="00AB6071"/>
    <w:rsid w:val="00AB61BF"/>
    <w:rsid w:val="00AB61EA"/>
    <w:rsid w:val="00AB6209"/>
    <w:rsid w:val="00AB627E"/>
    <w:rsid w:val="00AB658D"/>
    <w:rsid w:val="00AB6C00"/>
    <w:rsid w:val="00AB6DA6"/>
    <w:rsid w:val="00AB6FFC"/>
    <w:rsid w:val="00AB7314"/>
    <w:rsid w:val="00AB786D"/>
    <w:rsid w:val="00AB7A3A"/>
    <w:rsid w:val="00AB7CB1"/>
    <w:rsid w:val="00AC00A1"/>
    <w:rsid w:val="00AC06FF"/>
    <w:rsid w:val="00AC099D"/>
    <w:rsid w:val="00AC1286"/>
    <w:rsid w:val="00AC176B"/>
    <w:rsid w:val="00AC185C"/>
    <w:rsid w:val="00AC1EF1"/>
    <w:rsid w:val="00AC21D5"/>
    <w:rsid w:val="00AC23C0"/>
    <w:rsid w:val="00AC2627"/>
    <w:rsid w:val="00AC2881"/>
    <w:rsid w:val="00AC2C99"/>
    <w:rsid w:val="00AC2C9D"/>
    <w:rsid w:val="00AC35A9"/>
    <w:rsid w:val="00AC361E"/>
    <w:rsid w:val="00AC3C2C"/>
    <w:rsid w:val="00AC3C85"/>
    <w:rsid w:val="00AC3D25"/>
    <w:rsid w:val="00AC3D86"/>
    <w:rsid w:val="00AC40FA"/>
    <w:rsid w:val="00AC4885"/>
    <w:rsid w:val="00AC4E11"/>
    <w:rsid w:val="00AC4FC3"/>
    <w:rsid w:val="00AC562B"/>
    <w:rsid w:val="00AC58EA"/>
    <w:rsid w:val="00AC5996"/>
    <w:rsid w:val="00AC5A1A"/>
    <w:rsid w:val="00AC5A23"/>
    <w:rsid w:val="00AC76E6"/>
    <w:rsid w:val="00AC778D"/>
    <w:rsid w:val="00AC78AB"/>
    <w:rsid w:val="00AC7C0B"/>
    <w:rsid w:val="00AD0359"/>
    <w:rsid w:val="00AD09C3"/>
    <w:rsid w:val="00AD19FC"/>
    <w:rsid w:val="00AD1CB6"/>
    <w:rsid w:val="00AD1CFA"/>
    <w:rsid w:val="00AD2187"/>
    <w:rsid w:val="00AD27B3"/>
    <w:rsid w:val="00AD2AFC"/>
    <w:rsid w:val="00AD38B4"/>
    <w:rsid w:val="00AD4C96"/>
    <w:rsid w:val="00AD5E83"/>
    <w:rsid w:val="00AD607A"/>
    <w:rsid w:val="00AD6158"/>
    <w:rsid w:val="00AD626C"/>
    <w:rsid w:val="00AD651C"/>
    <w:rsid w:val="00AD6812"/>
    <w:rsid w:val="00AD7261"/>
    <w:rsid w:val="00AD7B5B"/>
    <w:rsid w:val="00AE0112"/>
    <w:rsid w:val="00AE01C4"/>
    <w:rsid w:val="00AE0334"/>
    <w:rsid w:val="00AE05E9"/>
    <w:rsid w:val="00AE0948"/>
    <w:rsid w:val="00AE0ECB"/>
    <w:rsid w:val="00AE0F24"/>
    <w:rsid w:val="00AE11AD"/>
    <w:rsid w:val="00AE1408"/>
    <w:rsid w:val="00AE172D"/>
    <w:rsid w:val="00AE188E"/>
    <w:rsid w:val="00AE1DD8"/>
    <w:rsid w:val="00AE1F23"/>
    <w:rsid w:val="00AE1F2D"/>
    <w:rsid w:val="00AE221F"/>
    <w:rsid w:val="00AE25D8"/>
    <w:rsid w:val="00AE260E"/>
    <w:rsid w:val="00AE2C3D"/>
    <w:rsid w:val="00AE2EC5"/>
    <w:rsid w:val="00AE2EE3"/>
    <w:rsid w:val="00AE3758"/>
    <w:rsid w:val="00AE3AAA"/>
    <w:rsid w:val="00AE3BC8"/>
    <w:rsid w:val="00AE41BE"/>
    <w:rsid w:val="00AE49E2"/>
    <w:rsid w:val="00AE51C2"/>
    <w:rsid w:val="00AE587F"/>
    <w:rsid w:val="00AE5970"/>
    <w:rsid w:val="00AE59F7"/>
    <w:rsid w:val="00AE5B12"/>
    <w:rsid w:val="00AE61EE"/>
    <w:rsid w:val="00AE6267"/>
    <w:rsid w:val="00AE65F0"/>
    <w:rsid w:val="00AE6C5D"/>
    <w:rsid w:val="00AE702E"/>
    <w:rsid w:val="00AE7A12"/>
    <w:rsid w:val="00AE7E1E"/>
    <w:rsid w:val="00AF0044"/>
    <w:rsid w:val="00AF031B"/>
    <w:rsid w:val="00AF0325"/>
    <w:rsid w:val="00AF06DD"/>
    <w:rsid w:val="00AF0F27"/>
    <w:rsid w:val="00AF1057"/>
    <w:rsid w:val="00AF1835"/>
    <w:rsid w:val="00AF2061"/>
    <w:rsid w:val="00AF20AE"/>
    <w:rsid w:val="00AF2B38"/>
    <w:rsid w:val="00AF2F88"/>
    <w:rsid w:val="00AF3227"/>
    <w:rsid w:val="00AF3479"/>
    <w:rsid w:val="00AF34CB"/>
    <w:rsid w:val="00AF35A0"/>
    <w:rsid w:val="00AF3993"/>
    <w:rsid w:val="00AF3D9F"/>
    <w:rsid w:val="00AF3E15"/>
    <w:rsid w:val="00AF47EE"/>
    <w:rsid w:val="00AF49DF"/>
    <w:rsid w:val="00AF4A7D"/>
    <w:rsid w:val="00AF4B2F"/>
    <w:rsid w:val="00AF4E74"/>
    <w:rsid w:val="00AF51DA"/>
    <w:rsid w:val="00AF5243"/>
    <w:rsid w:val="00AF56C2"/>
    <w:rsid w:val="00AF63E3"/>
    <w:rsid w:val="00AF6A9C"/>
    <w:rsid w:val="00B005CF"/>
    <w:rsid w:val="00B00A0B"/>
    <w:rsid w:val="00B011DB"/>
    <w:rsid w:val="00B01500"/>
    <w:rsid w:val="00B01B33"/>
    <w:rsid w:val="00B01E37"/>
    <w:rsid w:val="00B0201A"/>
    <w:rsid w:val="00B0253F"/>
    <w:rsid w:val="00B02D79"/>
    <w:rsid w:val="00B0354C"/>
    <w:rsid w:val="00B036A1"/>
    <w:rsid w:val="00B036B4"/>
    <w:rsid w:val="00B03766"/>
    <w:rsid w:val="00B03C4E"/>
    <w:rsid w:val="00B04490"/>
    <w:rsid w:val="00B0484E"/>
    <w:rsid w:val="00B04BB9"/>
    <w:rsid w:val="00B04C4B"/>
    <w:rsid w:val="00B04EB1"/>
    <w:rsid w:val="00B05040"/>
    <w:rsid w:val="00B056F4"/>
    <w:rsid w:val="00B05846"/>
    <w:rsid w:val="00B05F70"/>
    <w:rsid w:val="00B06139"/>
    <w:rsid w:val="00B062F2"/>
    <w:rsid w:val="00B063DA"/>
    <w:rsid w:val="00B06557"/>
    <w:rsid w:val="00B06DC1"/>
    <w:rsid w:val="00B06FCB"/>
    <w:rsid w:val="00B06FD4"/>
    <w:rsid w:val="00B072FF"/>
    <w:rsid w:val="00B075D1"/>
    <w:rsid w:val="00B079CA"/>
    <w:rsid w:val="00B106A4"/>
    <w:rsid w:val="00B106FD"/>
    <w:rsid w:val="00B109A0"/>
    <w:rsid w:val="00B10A25"/>
    <w:rsid w:val="00B10ACC"/>
    <w:rsid w:val="00B10CB8"/>
    <w:rsid w:val="00B10F8D"/>
    <w:rsid w:val="00B1144C"/>
    <w:rsid w:val="00B117E8"/>
    <w:rsid w:val="00B119EE"/>
    <w:rsid w:val="00B122AC"/>
    <w:rsid w:val="00B12C09"/>
    <w:rsid w:val="00B12DB8"/>
    <w:rsid w:val="00B12DD6"/>
    <w:rsid w:val="00B12FC1"/>
    <w:rsid w:val="00B13999"/>
    <w:rsid w:val="00B14740"/>
    <w:rsid w:val="00B1478E"/>
    <w:rsid w:val="00B14A0F"/>
    <w:rsid w:val="00B14A71"/>
    <w:rsid w:val="00B14DF5"/>
    <w:rsid w:val="00B154A6"/>
    <w:rsid w:val="00B15D70"/>
    <w:rsid w:val="00B16DEE"/>
    <w:rsid w:val="00B17A7C"/>
    <w:rsid w:val="00B17ED4"/>
    <w:rsid w:val="00B2071A"/>
    <w:rsid w:val="00B20ABA"/>
    <w:rsid w:val="00B20ADF"/>
    <w:rsid w:val="00B20C3C"/>
    <w:rsid w:val="00B20F0B"/>
    <w:rsid w:val="00B20F28"/>
    <w:rsid w:val="00B2140A"/>
    <w:rsid w:val="00B22136"/>
    <w:rsid w:val="00B2226C"/>
    <w:rsid w:val="00B22B95"/>
    <w:rsid w:val="00B22D81"/>
    <w:rsid w:val="00B22EA4"/>
    <w:rsid w:val="00B251DA"/>
    <w:rsid w:val="00B25557"/>
    <w:rsid w:val="00B257F7"/>
    <w:rsid w:val="00B25AA9"/>
    <w:rsid w:val="00B25F8C"/>
    <w:rsid w:val="00B2697C"/>
    <w:rsid w:val="00B27659"/>
    <w:rsid w:val="00B27DFF"/>
    <w:rsid w:val="00B3055B"/>
    <w:rsid w:val="00B30D21"/>
    <w:rsid w:val="00B3127A"/>
    <w:rsid w:val="00B3290E"/>
    <w:rsid w:val="00B32B48"/>
    <w:rsid w:val="00B3318F"/>
    <w:rsid w:val="00B332C2"/>
    <w:rsid w:val="00B334DF"/>
    <w:rsid w:val="00B3387F"/>
    <w:rsid w:val="00B33A67"/>
    <w:rsid w:val="00B33CA7"/>
    <w:rsid w:val="00B34423"/>
    <w:rsid w:val="00B3519E"/>
    <w:rsid w:val="00B3535C"/>
    <w:rsid w:val="00B3602B"/>
    <w:rsid w:val="00B36601"/>
    <w:rsid w:val="00B36A83"/>
    <w:rsid w:val="00B36A88"/>
    <w:rsid w:val="00B36C82"/>
    <w:rsid w:val="00B37534"/>
    <w:rsid w:val="00B37588"/>
    <w:rsid w:val="00B37C76"/>
    <w:rsid w:val="00B37C93"/>
    <w:rsid w:val="00B37DCE"/>
    <w:rsid w:val="00B402CA"/>
    <w:rsid w:val="00B40AF3"/>
    <w:rsid w:val="00B40C2A"/>
    <w:rsid w:val="00B4179F"/>
    <w:rsid w:val="00B41B0F"/>
    <w:rsid w:val="00B41E3C"/>
    <w:rsid w:val="00B41EDE"/>
    <w:rsid w:val="00B41F08"/>
    <w:rsid w:val="00B41FD2"/>
    <w:rsid w:val="00B41FE1"/>
    <w:rsid w:val="00B422E8"/>
    <w:rsid w:val="00B42A8E"/>
    <w:rsid w:val="00B42E2A"/>
    <w:rsid w:val="00B43045"/>
    <w:rsid w:val="00B43309"/>
    <w:rsid w:val="00B43486"/>
    <w:rsid w:val="00B438AF"/>
    <w:rsid w:val="00B439F5"/>
    <w:rsid w:val="00B43AA4"/>
    <w:rsid w:val="00B43B6D"/>
    <w:rsid w:val="00B447A5"/>
    <w:rsid w:val="00B44807"/>
    <w:rsid w:val="00B45320"/>
    <w:rsid w:val="00B4588F"/>
    <w:rsid w:val="00B45C47"/>
    <w:rsid w:val="00B461A0"/>
    <w:rsid w:val="00B475BD"/>
    <w:rsid w:val="00B477F6"/>
    <w:rsid w:val="00B50095"/>
    <w:rsid w:val="00B504BB"/>
    <w:rsid w:val="00B5072B"/>
    <w:rsid w:val="00B50C97"/>
    <w:rsid w:val="00B51375"/>
    <w:rsid w:val="00B514F2"/>
    <w:rsid w:val="00B51702"/>
    <w:rsid w:val="00B5209A"/>
    <w:rsid w:val="00B524F8"/>
    <w:rsid w:val="00B52769"/>
    <w:rsid w:val="00B52931"/>
    <w:rsid w:val="00B52DBE"/>
    <w:rsid w:val="00B52F8B"/>
    <w:rsid w:val="00B5347F"/>
    <w:rsid w:val="00B53ECF"/>
    <w:rsid w:val="00B53FCC"/>
    <w:rsid w:val="00B53FD3"/>
    <w:rsid w:val="00B544BD"/>
    <w:rsid w:val="00B54788"/>
    <w:rsid w:val="00B547D6"/>
    <w:rsid w:val="00B549B4"/>
    <w:rsid w:val="00B55246"/>
    <w:rsid w:val="00B552B1"/>
    <w:rsid w:val="00B55415"/>
    <w:rsid w:val="00B55521"/>
    <w:rsid w:val="00B55911"/>
    <w:rsid w:val="00B55B40"/>
    <w:rsid w:val="00B561A9"/>
    <w:rsid w:val="00B564B7"/>
    <w:rsid w:val="00B569BD"/>
    <w:rsid w:val="00B57F80"/>
    <w:rsid w:val="00B6027F"/>
    <w:rsid w:val="00B60AF9"/>
    <w:rsid w:val="00B60BCF"/>
    <w:rsid w:val="00B60C5D"/>
    <w:rsid w:val="00B61115"/>
    <w:rsid w:val="00B615CA"/>
    <w:rsid w:val="00B61CA0"/>
    <w:rsid w:val="00B61E65"/>
    <w:rsid w:val="00B61E9F"/>
    <w:rsid w:val="00B623B2"/>
    <w:rsid w:val="00B62880"/>
    <w:rsid w:val="00B633B0"/>
    <w:rsid w:val="00B6340B"/>
    <w:rsid w:val="00B63552"/>
    <w:rsid w:val="00B638F0"/>
    <w:rsid w:val="00B63B29"/>
    <w:rsid w:val="00B63EAE"/>
    <w:rsid w:val="00B63ED6"/>
    <w:rsid w:val="00B63EE8"/>
    <w:rsid w:val="00B652E0"/>
    <w:rsid w:val="00B65748"/>
    <w:rsid w:val="00B6587B"/>
    <w:rsid w:val="00B66376"/>
    <w:rsid w:val="00B66890"/>
    <w:rsid w:val="00B66899"/>
    <w:rsid w:val="00B66BB1"/>
    <w:rsid w:val="00B66F69"/>
    <w:rsid w:val="00B67012"/>
    <w:rsid w:val="00B670D9"/>
    <w:rsid w:val="00B6751C"/>
    <w:rsid w:val="00B6788B"/>
    <w:rsid w:val="00B67D8A"/>
    <w:rsid w:val="00B705FB"/>
    <w:rsid w:val="00B70AB2"/>
    <w:rsid w:val="00B70F01"/>
    <w:rsid w:val="00B71BD6"/>
    <w:rsid w:val="00B71D14"/>
    <w:rsid w:val="00B7221C"/>
    <w:rsid w:val="00B726B4"/>
    <w:rsid w:val="00B726BF"/>
    <w:rsid w:val="00B72775"/>
    <w:rsid w:val="00B72C63"/>
    <w:rsid w:val="00B730C9"/>
    <w:rsid w:val="00B732DB"/>
    <w:rsid w:val="00B737D2"/>
    <w:rsid w:val="00B73BCF"/>
    <w:rsid w:val="00B73C2D"/>
    <w:rsid w:val="00B74472"/>
    <w:rsid w:val="00B74719"/>
    <w:rsid w:val="00B74726"/>
    <w:rsid w:val="00B75066"/>
    <w:rsid w:val="00B75233"/>
    <w:rsid w:val="00B754E1"/>
    <w:rsid w:val="00B7554F"/>
    <w:rsid w:val="00B75604"/>
    <w:rsid w:val="00B75658"/>
    <w:rsid w:val="00B75BDC"/>
    <w:rsid w:val="00B75C30"/>
    <w:rsid w:val="00B75E57"/>
    <w:rsid w:val="00B76188"/>
    <w:rsid w:val="00B766F1"/>
    <w:rsid w:val="00B76896"/>
    <w:rsid w:val="00B7698B"/>
    <w:rsid w:val="00B769AF"/>
    <w:rsid w:val="00B76EF6"/>
    <w:rsid w:val="00B76F55"/>
    <w:rsid w:val="00B773EF"/>
    <w:rsid w:val="00B777C2"/>
    <w:rsid w:val="00B77AA4"/>
    <w:rsid w:val="00B77F69"/>
    <w:rsid w:val="00B80845"/>
    <w:rsid w:val="00B808C6"/>
    <w:rsid w:val="00B80C38"/>
    <w:rsid w:val="00B813F9"/>
    <w:rsid w:val="00B818A9"/>
    <w:rsid w:val="00B81978"/>
    <w:rsid w:val="00B82597"/>
    <w:rsid w:val="00B82AFA"/>
    <w:rsid w:val="00B82AFD"/>
    <w:rsid w:val="00B831DE"/>
    <w:rsid w:val="00B832E8"/>
    <w:rsid w:val="00B83FD9"/>
    <w:rsid w:val="00B8425D"/>
    <w:rsid w:val="00B85080"/>
    <w:rsid w:val="00B8564A"/>
    <w:rsid w:val="00B858AE"/>
    <w:rsid w:val="00B85BB1"/>
    <w:rsid w:val="00B85EA6"/>
    <w:rsid w:val="00B85F94"/>
    <w:rsid w:val="00B8612F"/>
    <w:rsid w:val="00B862F1"/>
    <w:rsid w:val="00B862F8"/>
    <w:rsid w:val="00B868FC"/>
    <w:rsid w:val="00B86BC8"/>
    <w:rsid w:val="00B86CF5"/>
    <w:rsid w:val="00B8706E"/>
    <w:rsid w:val="00B8714A"/>
    <w:rsid w:val="00B8737C"/>
    <w:rsid w:val="00B8772B"/>
    <w:rsid w:val="00B87A51"/>
    <w:rsid w:val="00B87B2A"/>
    <w:rsid w:val="00B902EA"/>
    <w:rsid w:val="00B90652"/>
    <w:rsid w:val="00B90E09"/>
    <w:rsid w:val="00B91060"/>
    <w:rsid w:val="00B910A0"/>
    <w:rsid w:val="00B910E3"/>
    <w:rsid w:val="00B911E5"/>
    <w:rsid w:val="00B915BC"/>
    <w:rsid w:val="00B91FFD"/>
    <w:rsid w:val="00B92296"/>
    <w:rsid w:val="00B9284D"/>
    <w:rsid w:val="00B9379E"/>
    <w:rsid w:val="00B93EBF"/>
    <w:rsid w:val="00B93F05"/>
    <w:rsid w:val="00B93F5F"/>
    <w:rsid w:val="00B9452D"/>
    <w:rsid w:val="00B94A14"/>
    <w:rsid w:val="00B95229"/>
    <w:rsid w:val="00B956F7"/>
    <w:rsid w:val="00B957F9"/>
    <w:rsid w:val="00B9598C"/>
    <w:rsid w:val="00B95CB8"/>
    <w:rsid w:val="00B962B4"/>
    <w:rsid w:val="00B96D4A"/>
    <w:rsid w:val="00B96FEC"/>
    <w:rsid w:val="00B978D0"/>
    <w:rsid w:val="00B97BCF"/>
    <w:rsid w:val="00B97DAB"/>
    <w:rsid w:val="00BA00BC"/>
    <w:rsid w:val="00BA1489"/>
    <w:rsid w:val="00BA1D56"/>
    <w:rsid w:val="00BA1E05"/>
    <w:rsid w:val="00BA214D"/>
    <w:rsid w:val="00BA25CA"/>
    <w:rsid w:val="00BA2757"/>
    <w:rsid w:val="00BA2B35"/>
    <w:rsid w:val="00BA3324"/>
    <w:rsid w:val="00BA3654"/>
    <w:rsid w:val="00BA390B"/>
    <w:rsid w:val="00BA3AE8"/>
    <w:rsid w:val="00BA40B2"/>
    <w:rsid w:val="00BA41F5"/>
    <w:rsid w:val="00BA4799"/>
    <w:rsid w:val="00BA4AA6"/>
    <w:rsid w:val="00BA4C86"/>
    <w:rsid w:val="00BA4EF5"/>
    <w:rsid w:val="00BA50A8"/>
    <w:rsid w:val="00BA5177"/>
    <w:rsid w:val="00BA51EF"/>
    <w:rsid w:val="00BA584B"/>
    <w:rsid w:val="00BA5CCE"/>
    <w:rsid w:val="00BA6B9F"/>
    <w:rsid w:val="00BA6CBC"/>
    <w:rsid w:val="00BA7039"/>
    <w:rsid w:val="00BA7597"/>
    <w:rsid w:val="00BA7AAE"/>
    <w:rsid w:val="00BA7B88"/>
    <w:rsid w:val="00BA7BCF"/>
    <w:rsid w:val="00BA7CB0"/>
    <w:rsid w:val="00BB01C7"/>
    <w:rsid w:val="00BB03D5"/>
    <w:rsid w:val="00BB0847"/>
    <w:rsid w:val="00BB092A"/>
    <w:rsid w:val="00BB0B00"/>
    <w:rsid w:val="00BB156C"/>
    <w:rsid w:val="00BB1865"/>
    <w:rsid w:val="00BB18FD"/>
    <w:rsid w:val="00BB1D83"/>
    <w:rsid w:val="00BB1E26"/>
    <w:rsid w:val="00BB20C8"/>
    <w:rsid w:val="00BB2184"/>
    <w:rsid w:val="00BB2688"/>
    <w:rsid w:val="00BB2CF5"/>
    <w:rsid w:val="00BB3027"/>
    <w:rsid w:val="00BB3BD7"/>
    <w:rsid w:val="00BB3C11"/>
    <w:rsid w:val="00BB3CE9"/>
    <w:rsid w:val="00BB49B0"/>
    <w:rsid w:val="00BB4DC1"/>
    <w:rsid w:val="00BB5C6B"/>
    <w:rsid w:val="00BB6555"/>
    <w:rsid w:val="00BB658E"/>
    <w:rsid w:val="00BB7200"/>
    <w:rsid w:val="00BB723A"/>
    <w:rsid w:val="00BB724B"/>
    <w:rsid w:val="00BB72FC"/>
    <w:rsid w:val="00BB7C36"/>
    <w:rsid w:val="00BC07BF"/>
    <w:rsid w:val="00BC07F4"/>
    <w:rsid w:val="00BC080C"/>
    <w:rsid w:val="00BC0B4D"/>
    <w:rsid w:val="00BC0B86"/>
    <w:rsid w:val="00BC16F6"/>
    <w:rsid w:val="00BC17B2"/>
    <w:rsid w:val="00BC194E"/>
    <w:rsid w:val="00BC199D"/>
    <w:rsid w:val="00BC1AB9"/>
    <w:rsid w:val="00BC1DD4"/>
    <w:rsid w:val="00BC29FF"/>
    <w:rsid w:val="00BC2B58"/>
    <w:rsid w:val="00BC2CA5"/>
    <w:rsid w:val="00BC346C"/>
    <w:rsid w:val="00BC358E"/>
    <w:rsid w:val="00BC37EE"/>
    <w:rsid w:val="00BC3EBF"/>
    <w:rsid w:val="00BC40FA"/>
    <w:rsid w:val="00BC440C"/>
    <w:rsid w:val="00BC48D9"/>
    <w:rsid w:val="00BC578E"/>
    <w:rsid w:val="00BC585B"/>
    <w:rsid w:val="00BC5ABE"/>
    <w:rsid w:val="00BC5E7E"/>
    <w:rsid w:val="00BC621E"/>
    <w:rsid w:val="00BC7338"/>
    <w:rsid w:val="00BC7479"/>
    <w:rsid w:val="00BC76C5"/>
    <w:rsid w:val="00BC7B1A"/>
    <w:rsid w:val="00BC7C05"/>
    <w:rsid w:val="00BD0455"/>
    <w:rsid w:val="00BD05DB"/>
    <w:rsid w:val="00BD07A5"/>
    <w:rsid w:val="00BD0D4D"/>
    <w:rsid w:val="00BD1B11"/>
    <w:rsid w:val="00BD1BF8"/>
    <w:rsid w:val="00BD1F3A"/>
    <w:rsid w:val="00BD21BA"/>
    <w:rsid w:val="00BD336B"/>
    <w:rsid w:val="00BD35FD"/>
    <w:rsid w:val="00BD3798"/>
    <w:rsid w:val="00BD3869"/>
    <w:rsid w:val="00BD3AC3"/>
    <w:rsid w:val="00BD4B2C"/>
    <w:rsid w:val="00BD4CC9"/>
    <w:rsid w:val="00BD4D89"/>
    <w:rsid w:val="00BD53EF"/>
    <w:rsid w:val="00BD5412"/>
    <w:rsid w:val="00BD5654"/>
    <w:rsid w:val="00BD5854"/>
    <w:rsid w:val="00BD58D4"/>
    <w:rsid w:val="00BD58F4"/>
    <w:rsid w:val="00BD5C98"/>
    <w:rsid w:val="00BD5FB4"/>
    <w:rsid w:val="00BD600D"/>
    <w:rsid w:val="00BD652B"/>
    <w:rsid w:val="00BD65BE"/>
    <w:rsid w:val="00BD784B"/>
    <w:rsid w:val="00BD7AEC"/>
    <w:rsid w:val="00BE0339"/>
    <w:rsid w:val="00BE03CF"/>
    <w:rsid w:val="00BE073C"/>
    <w:rsid w:val="00BE09D2"/>
    <w:rsid w:val="00BE0CE8"/>
    <w:rsid w:val="00BE0EAD"/>
    <w:rsid w:val="00BE1242"/>
    <w:rsid w:val="00BE1890"/>
    <w:rsid w:val="00BE1D64"/>
    <w:rsid w:val="00BE1E24"/>
    <w:rsid w:val="00BE2C5A"/>
    <w:rsid w:val="00BE38BF"/>
    <w:rsid w:val="00BE3B54"/>
    <w:rsid w:val="00BE3C9E"/>
    <w:rsid w:val="00BE404C"/>
    <w:rsid w:val="00BE4142"/>
    <w:rsid w:val="00BE42DC"/>
    <w:rsid w:val="00BE4318"/>
    <w:rsid w:val="00BE432C"/>
    <w:rsid w:val="00BE4741"/>
    <w:rsid w:val="00BE4889"/>
    <w:rsid w:val="00BE4E4B"/>
    <w:rsid w:val="00BE4E84"/>
    <w:rsid w:val="00BE511D"/>
    <w:rsid w:val="00BE5224"/>
    <w:rsid w:val="00BE5423"/>
    <w:rsid w:val="00BE565F"/>
    <w:rsid w:val="00BE5CE4"/>
    <w:rsid w:val="00BE717D"/>
    <w:rsid w:val="00BE71CF"/>
    <w:rsid w:val="00BE74A8"/>
    <w:rsid w:val="00BE7788"/>
    <w:rsid w:val="00BE784B"/>
    <w:rsid w:val="00BF0111"/>
    <w:rsid w:val="00BF0686"/>
    <w:rsid w:val="00BF0C32"/>
    <w:rsid w:val="00BF158B"/>
    <w:rsid w:val="00BF1C2A"/>
    <w:rsid w:val="00BF1C99"/>
    <w:rsid w:val="00BF1E8A"/>
    <w:rsid w:val="00BF24E4"/>
    <w:rsid w:val="00BF3ED5"/>
    <w:rsid w:val="00BF41EF"/>
    <w:rsid w:val="00BF4449"/>
    <w:rsid w:val="00BF49E4"/>
    <w:rsid w:val="00BF50EF"/>
    <w:rsid w:val="00BF5A38"/>
    <w:rsid w:val="00BF5C2E"/>
    <w:rsid w:val="00BF635A"/>
    <w:rsid w:val="00BF63E7"/>
    <w:rsid w:val="00BF656F"/>
    <w:rsid w:val="00BF68F7"/>
    <w:rsid w:val="00BF6F17"/>
    <w:rsid w:val="00BF7693"/>
    <w:rsid w:val="00BF772C"/>
    <w:rsid w:val="00BF77F2"/>
    <w:rsid w:val="00BF7F59"/>
    <w:rsid w:val="00C00321"/>
    <w:rsid w:val="00C0060F"/>
    <w:rsid w:val="00C01393"/>
    <w:rsid w:val="00C0188E"/>
    <w:rsid w:val="00C02705"/>
    <w:rsid w:val="00C02801"/>
    <w:rsid w:val="00C02A9C"/>
    <w:rsid w:val="00C02DD1"/>
    <w:rsid w:val="00C03655"/>
    <w:rsid w:val="00C03656"/>
    <w:rsid w:val="00C03845"/>
    <w:rsid w:val="00C038A1"/>
    <w:rsid w:val="00C03D9F"/>
    <w:rsid w:val="00C03E30"/>
    <w:rsid w:val="00C0431B"/>
    <w:rsid w:val="00C04647"/>
    <w:rsid w:val="00C04A54"/>
    <w:rsid w:val="00C0515D"/>
    <w:rsid w:val="00C05BFB"/>
    <w:rsid w:val="00C06037"/>
    <w:rsid w:val="00C0635A"/>
    <w:rsid w:val="00C0677E"/>
    <w:rsid w:val="00C06DA1"/>
    <w:rsid w:val="00C07676"/>
    <w:rsid w:val="00C07E64"/>
    <w:rsid w:val="00C07FA9"/>
    <w:rsid w:val="00C10005"/>
    <w:rsid w:val="00C101C0"/>
    <w:rsid w:val="00C1022C"/>
    <w:rsid w:val="00C10779"/>
    <w:rsid w:val="00C10952"/>
    <w:rsid w:val="00C10BC1"/>
    <w:rsid w:val="00C113CB"/>
    <w:rsid w:val="00C11900"/>
    <w:rsid w:val="00C122B8"/>
    <w:rsid w:val="00C12715"/>
    <w:rsid w:val="00C12F90"/>
    <w:rsid w:val="00C135F6"/>
    <w:rsid w:val="00C13B1B"/>
    <w:rsid w:val="00C143CF"/>
    <w:rsid w:val="00C145AA"/>
    <w:rsid w:val="00C1467A"/>
    <w:rsid w:val="00C14BD7"/>
    <w:rsid w:val="00C14BD8"/>
    <w:rsid w:val="00C14CCE"/>
    <w:rsid w:val="00C14D95"/>
    <w:rsid w:val="00C14EF5"/>
    <w:rsid w:val="00C154A9"/>
    <w:rsid w:val="00C15BE5"/>
    <w:rsid w:val="00C15C1F"/>
    <w:rsid w:val="00C15DA2"/>
    <w:rsid w:val="00C16050"/>
    <w:rsid w:val="00C160A1"/>
    <w:rsid w:val="00C161C2"/>
    <w:rsid w:val="00C162E6"/>
    <w:rsid w:val="00C16CED"/>
    <w:rsid w:val="00C170CF"/>
    <w:rsid w:val="00C1776D"/>
    <w:rsid w:val="00C179A2"/>
    <w:rsid w:val="00C17B00"/>
    <w:rsid w:val="00C17C1E"/>
    <w:rsid w:val="00C2020C"/>
    <w:rsid w:val="00C20572"/>
    <w:rsid w:val="00C20F40"/>
    <w:rsid w:val="00C218CE"/>
    <w:rsid w:val="00C22118"/>
    <w:rsid w:val="00C22416"/>
    <w:rsid w:val="00C22485"/>
    <w:rsid w:val="00C22559"/>
    <w:rsid w:val="00C22883"/>
    <w:rsid w:val="00C22D06"/>
    <w:rsid w:val="00C22DB1"/>
    <w:rsid w:val="00C23151"/>
    <w:rsid w:val="00C231EA"/>
    <w:rsid w:val="00C23C15"/>
    <w:rsid w:val="00C24260"/>
    <w:rsid w:val="00C24294"/>
    <w:rsid w:val="00C24B38"/>
    <w:rsid w:val="00C24F12"/>
    <w:rsid w:val="00C253E5"/>
    <w:rsid w:val="00C256D5"/>
    <w:rsid w:val="00C2578F"/>
    <w:rsid w:val="00C25858"/>
    <w:rsid w:val="00C25A28"/>
    <w:rsid w:val="00C260F2"/>
    <w:rsid w:val="00C265F5"/>
    <w:rsid w:val="00C26704"/>
    <w:rsid w:val="00C268C7"/>
    <w:rsid w:val="00C26B5A"/>
    <w:rsid w:val="00C26E0C"/>
    <w:rsid w:val="00C271E9"/>
    <w:rsid w:val="00C27854"/>
    <w:rsid w:val="00C27A62"/>
    <w:rsid w:val="00C27B73"/>
    <w:rsid w:val="00C27E00"/>
    <w:rsid w:val="00C3006B"/>
    <w:rsid w:val="00C30272"/>
    <w:rsid w:val="00C30E26"/>
    <w:rsid w:val="00C3106C"/>
    <w:rsid w:val="00C311EC"/>
    <w:rsid w:val="00C31204"/>
    <w:rsid w:val="00C31754"/>
    <w:rsid w:val="00C32671"/>
    <w:rsid w:val="00C33181"/>
    <w:rsid w:val="00C33294"/>
    <w:rsid w:val="00C33593"/>
    <w:rsid w:val="00C33BBF"/>
    <w:rsid w:val="00C33E47"/>
    <w:rsid w:val="00C342AD"/>
    <w:rsid w:val="00C346B0"/>
    <w:rsid w:val="00C3493D"/>
    <w:rsid w:val="00C34AF1"/>
    <w:rsid w:val="00C34D2B"/>
    <w:rsid w:val="00C3586B"/>
    <w:rsid w:val="00C35AB9"/>
    <w:rsid w:val="00C35CB1"/>
    <w:rsid w:val="00C36018"/>
    <w:rsid w:val="00C360B1"/>
    <w:rsid w:val="00C36513"/>
    <w:rsid w:val="00C3694F"/>
    <w:rsid w:val="00C369C5"/>
    <w:rsid w:val="00C37048"/>
    <w:rsid w:val="00C3728F"/>
    <w:rsid w:val="00C374A5"/>
    <w:rsid w:val="00C37816"/>
    <w:rsid w:val="00C37B1E"/>
    <w:rsid w:val="00C37C53"/>
    <w:rsid w:val="00C400F1"/>
    <w:rsid w:val="00C40A0E"/>
    <w:rsid w:val="00C413EE"/>
    <w:rsid w:val="00C41918"/>
    <w:rsid w:val="00C41FD6"/>
    <w:rsid w:val="00C429E0"/>
    <w:rsid w:val="00C435A5"/>
    <w:rsid w:val="00C439B7"/>
    <w:rsid w:val="00C43D49"/>
    <w:rsid w:val="00C43E30"/>
    <w:rsid w:val="00C43E91"/>
    <w:rsid w:val="00C44150"/>
    <w:rsid w:val="00C4416D"/>
    <w:rsid w:val="00C444A7"/>
    <w:rsid w:val="00C44704"/>
    <w:rsid w:val="00C45418"/>
    <w:rsid w:val="00C456EA"/>
    <w:rsid w:val="00C4585D"/>
    <w:rsid w:val="00C458ED"/>
    <w:rsid w:val="00C45A54"/>
    <w:rsid w:val="00C45BD5"/>
    <w:rsid w:val="00C46422"/>
    <w:rsid w:val="00C465BA"/>
    <w:rsid w:val="00C46890"/>
    <w:rsid w:val="00C46B55"/>
    <w:rsid w:val="00C46BD2"/>
    <w:rsid w:val="00C471A2"/>
    <w:rsid w:val="00C473F0"/>
    <w:rsid w:val="00C47845"/>
    <w:rsid w:val="00C479CF"/>
    <w:rsid w:val="00C47B43"/>
    <w:rsid w:val="00C50143"/>
    <w:rsid w:val="00C50790"/>
    <w:rsid w:val="00C50F7D"/>
    <w:rsid w:val="00C51C3F"/>
    <w:rsid w:val="00C52694"/>
    <w:rsid w:val="00C52917"/>
    <w:rsid w:val="00C52F68"/>
    <w:rsid w:val="00C53095"/>
    <w:rsid w:val="00C531FF"/>
    <w:rsid w:val="00C53308"/>
    <w:rsid w:val="00C5339C"/>
    <w:rsid w:val="00C535F4"/>
    <w:rsid w:val="00C5394A"/>
    <w:rsid w:val="00C53E1D"/>
    <w:rsid w:val="00C5412B"/>
    <w:rsid w:val="00C547CF"/>
    <w:rsid w:val="00C54F7F"/>
    <w:rsid w:val="00C551CA"/>
    <w:rsid w:val="00C5569F"/>
    <w:rsid w:val="00C55A13"/>
    <w:rsid w:val="00C5605F"/>
    <w:rsid w:val="00C560BB"/>
    <w:rsid w:val="00C5626F"/>
    <w:rsid w:val="00C56283"/>
    <w:rsid w:val="00C563E1"/>
    <w:rsid w:val="00C564B2"/>
    <w:rsid w:val="00C565A3"/>
    <w:rsid w:val="00C56B8D"/>
    <w:rsid w:val="00C57072"/>
    <w:rsid w:val="00C572E6"/>
    <w:rsid w:val="00C57332"/>
    <w:rsid w:val="00C578AA"/>
    <w:rsid w:val="00C60428"/>
    <w:rsid w:val="00C60B20"/>
    <w:rsid w:val="00C614D0"/>
    <w:rsid w:val="00C61731"/>
    <w:rsid w:val="00C6197C"/>
    <w:rsid w:val="00C61BB4"/>
    <w:rsid w:val="00C62372"/>
    <w:rsid w:val="00C6327C"/>
    <w:rsid w:val="00C63709"/>
    <w:rsid w:val="00C6378C"/>
    <w:rsid w:val="00C6460F"/>
    <w:rsid w:val="00C64B9D"/>
    <w:rsid w:val="00C64E55"/>
    <w:rsid w:val="00C64E73"/>
    <w:rsid w:val="00C64EE2"/>
    <w:rsid w:val="00C660C9"/>
    <w:rsid w:val="00C664DC"/>
    <w:rsid w:val="00C66ACD"/>
    <w:rsid w:val="00C66BA5"/>
    <w:rsid w:val="00C67386"/>
    <w:rsid w:val="00C6785F"/>
    <w:rsid w:val="00C67C76"/>
    <w:rsid w:val="00C70748"/>
    <w:rsid w:val="00C70AFD"/>
    <w:rsid w:val="00C70BFC"/>
    <w:rsid w:val="00C713EC"/>
    <w:rsid w:val="00C713F6"/>
    <w:rsid w:val="00C715FC"/>
    <w:rsid w:val="00C71673"/>
    <w:rsid w:val="00C71810"/>
    <w:rsid w:val="00C71F74"/>
    <w:rsid w:val="00C7209A"/>
    <w:rsid w:val="00C72311"/>
    <w:rsid w:val="00C7255D"/>
    <w:rsid w:val="00C72DD2"/>
    <w:rsid w:val="00C732D7"/>
    <w:rsid w:val="00C73349"/>
    <w:rsid w:val="00C736D0"/>
    <w:rsid w:val="00C738B3"/>
    <w:rsid w:val="00C73AF7"/>
    <w:rsid w:val="00C73E75"/>
    <w:rsid w:val="00C743A4"/>
    <w:rsid w:val="00C743CC"/>
    <w:rsid w:val="00C74D38"/>
    <w:rsid w:val="00C757A3"/>
    <w:rsid w:val="00C7598C"/>
    <w:rsid w:val="00C75E1A"/>
    <w:rsid w:val="00C77089"/>
    <w:rsid w:val="00C774E5"/>
    <w:rsid w:val="00C77815"/>
    <w:rsid w:val="00C77B8D"/>
    <w:rsid w:val="00C77F25"/>
    <w:rsid w:val="00C802A6"/>
    <w:rsid w:val="00C80470"/>
    <w:rsid w:val="00C80515"/>
    <w:rsid w:val="00C806D5"/>
    <w:rsid w:val="00C816E2"/>
    <w:rsid w:val="00C81CA5"/>
    <w:rsid w:val="00C81DF8"/>
    <w:rsid w:val="00C82490"/>
    <w:rsid w:val="00C831E4"/>
    <w:rsid w:val="00C8330A"/>
    <w:rsid w:val="00C83EEF"/>
    <w:rsid w:val="00C847B6"/>
    <w:rsid w:val="00C84A1A"/>
    <w:rsid w:val="00C85047"/>
    <w:rsid w:val="00C85114"/>
    <w:rsid w:val="00C85536"/>
    <w:rsid w:val="00C85B62"/>
    <w:rsid w:val="00C85D40"/>
    <w:rsid w:val="00C863A3"/>
    <w:rsid w:val="00C86E33"/>
    <w:rsid w:val="00C86EC2"/>
    <w:rsid w:val="00C86F22"/>
    <w:rsid w:val="00C8719B"/>
    <w:rsid w:val="00C87240"/>
    <w:rsid w:val="00C87320"/>
    <w:rsid w:val="00C87357"/>
    <w:rsid w:val="00C87AC9"/>
    <w:rsid w:val="00C87D4B"/>
    <w:rsid w:val="00C87D96"/>
    <w:rsid w:val="00C9043B"/>
    <w:rsid w:val="00C9051F"/>
    <w:rsid w:val="00C905A7"/>
    <w:rsid w:val="00C90ACF"/>
    <w:rsid w:val="00C9192C"/>
    <w:rsid w:val="00C9198D"/>
    <w:rsid w:val="00C91ACC"/>
    <w:rsid w:val="00C91EAB"/>
    <w:rsid w:val="00C925A9"/>
    <w:rsid w:val="00C9298B"/>
    <w:rsid w:val="00C931CA"/>
    <w:rsid w:val="00C93CFC"/>
    <w:rsid w:val="00C93FBC"/>
    <w:rsid w:val="00C94185"/>
    <w:rsid w:val="00C942C3"/>
    <w:rsid w:val="00C9449C"/>
    <w:rsid w:val="00C94862"/>
    <w:rsid w:val="00C951DE"/>
    <w:rsid w:val="00C955BA"/>
    <w:rsid w:val="00C95CF0"/>
    <w:rsid w:val="00C9626A"/>
    <w:rsid w:val="00C96323"/>
    <w:rsid w:val="00C96C7C"/>
    <w:rsid w:val="00C97078"/>
    <w:rsid w:val="00C97527"/>
    <w:rsid w:val="00C978DD"/>
    <w:rsid w:val="00C97B1C"/>
    <w:rsid w:val="00C97B4E"/>
    <w:rsid w:val="00C97C03"/>
    <w:rsid w:val="00C97D09"/>
    <w:rsid w:val="00CA035F"/>
    <w:rsid w:val="00CA0464"/>
    <w:rsid w:val="00CA0A6B"/>
    <w:rsid w:val="00CA16CB"/>
    <w:rsid w:val="00CA23FC"/>
    <w:rsid w:val="00CA34DF"/>
    <w:rsid w:val="00CA35AF"/>
    <w:rsid w:val="00CA3AB4"/>
    <w:rsid w:val="00CA3AD4"/>
    <w:rsid w:val="00CA3D7D"/>
    <w:rsid w:val="00CA4367"/>
    <w:rsid w:val="00CA45DE"/>
    <w:rsid w:val="00CA486B"/>
    <w:rsid w:val="00CA4885"/>
    <w:rsid w:val="00CA4B69"/>
    <w:rsid w:val="00CA5297"/>
    <w:rsid w:val="00CA5656"/>
    <w:rsid w:val="00CA5936"/>
    <w:rsid w:val="00CA5DC0"/>
    <w:rsid w:val="00CA5F7F"/>
    <w:rsid w:val="00CA6065"/>
    <w:rsid w:val="00CA6191"/>
    <w:rsid w:val="00CA6E2E"/>
    <w:rsid w:val="00CA6FD3"/>
    <w:rsid w:val="00CA73B0"/>
    <w:rsid w:val="00CA7902"/>
    <w:rsid w:val="00CA7BFE"/>
    <w:rsid w:val="00CB041E"/>
    <w:rsid w:val="00CB0518"/>
    <w:rsid w:val="00CB0BE2"/>
    <w:rsid w:val="00CB12B3"/>
    <w:rsid w:val="00CB1441"/>
    <w:rsid w:val="00CB1663"/>
    <w:rsid w:val="00CB1793"/>
    <w:rsid w:val="00CB26BC"/>
    <w:rsid w:val="00CB2788"/>
    <w:rsid w:val="00CB2860"/>
    <w:rsid w:val="00CB2891"/>
    <w:rsid w:val="00CB2B9A"/>
    <w:rsid w:val="00CB2DA4"/>
    <w:rsid w:val="00CB313E"/>
    <w:rsid w:val="00CB37B1"/>
    <w:rsid w:val="00CB3F0E"/>
    <w:rsid w:val="00CB4C3E"/>
    <w:rsid w:val="00CB51FD"/>
    <w:rsid w:val="00CB58A8"/>
    <w:rsid w:val="00CB5978"/>
    <w:rsid w:val="00CB5BB8"/>
    <w:rsid w:val="00CB6173"/>
    <w:rsid w:val="00CB6415"/>
    <w:rsid w:val="00CB6478"/>
    <w:rsid w:val="00CB689A"/>
    <w:rsid w:val="00CB68FD"/>
    <w:rsid w:val="00CB6EEB"/>
    <w:rsid w:val="00CB7AD0"/>
    <w:rsid w:val="00CC03B2"/>
    <w:rsid w:val="00CC0977"/>
    <w:rsid w:val="00CC0B0D"/>
    <w:rsid w:val="00CC0D04"/>
    <w:rsid w:val="00CC0DCA"/>
    <w:rsid w:val="00CC1116"/>
    <w:rsid w:val="00CC155E"/>
    <w:rsid w:val="00CC15D2"/>
    <w:rsid w:val="00CC1666"/>
    <w:rsid w:val="00CC1A08"/>
    <w:rsid w:val="00CC1AE1"/>
    <w:rsid w:val="00CC20BE"/>
    <w:rsid w:val="00CC2368"/>
    <w:rsid w:val="00CC291D"/>
    <w:rsid w:val="00CC3727"/>
    <w:rsid w:val="00CC3769"/>
    <w:rsid w:val="00CC39E6"/>
    <w:rsid w:val="00CC3AEC"/>
    <w:rsid w:val="00CC4B08"/>
    <w:rsid w:val="00CC4FC5"/>
    <w:rsid w:val="00CC502D"/>
    <w:rsid w:val="00CC504C"/>
    <w:rsid w:val="00CC5202"/>
    <w:rsid w:val="00CC5341"/>
    <w:rsid w:val="00CC5FEA"/>
    <w:rsid w:val="00CC6687"/>
    <w:rsid w:val="00CC7103"/>
    <w:rsid w:val="00CC7129"/>
    <w:rsid w:val="00CC78A8"/>
    <w:rsid w:val="00CC7C90"/>
    <w:rsid w:val="00CD00FD"/>
    <w:rsid w:val="00CD0635"/>
    <w:rsid w:val="00CD0E05"/>
    <w:rsid w:val="00CD1464"/>
    <w:rsid w:val="00CD1A13"/>
    <w:rsid w:val="00CD1D27"/>
    <w:rsid w:val="00CD1F30"/>
    <w:rsid w:val="00CD1FA4"/>
    <w:rsid w:val="00CD1FEF"/>
    <w:rsid w:val="00CD2AB1"/>
    <w:rsid w:val="00CD2C9C"/>
    <w:rsid w:val="00CD2D9C"/>
    <w:rsid w:val="00CD309D"/>
    <w:rsid w:val="00CD340A"/>
    <w:rsid w:val="00CD3513"/>
    <w:rsid w:val="00CD38D5"/>
    <w:rsid w:val="00CD3F15"/>
    <w:rsid w:val="00CD3F3B"/>
    <w:rsid w:val="00CD40F9"/>
    <w:rsid w:val="00CD4325"/>
    <w:rsid w:val="00CD464B"/>
    <w:rsid w:val="00CD474F"/>
    <w:rsid w:val="00CD476F"/>
    <w:rsid w:val="00CD4EE3"/>
    <w:rsid w:val="00CD546F"/>
    <w:rsid w:val="00CD559E"/>
    <w:rsid w:val="00CD578E"/>
    <w:rsid w:val="00CD62C9"/>
    <w:rsid w:val="00CD6430"/>
    <w:rsid w:val="00CD6515"/>
    <w:rsid w:val="00CD6854"/>
    <w:rsid w:val="00CD69E5"/>
    <w:rsid w:val="00CD7047"/>
    <w:rsid w:val="00CD7466"/>
    <w:rsid w:val="00CD7C43"/>
    <w:rsid w:val="00CD7DAC"/>
    <w:rsid w:val="00CE015E"/>
    <w:rsid w:val="00CE0593"/>
    <w:rsid w:val="00CE08B1"/>
    <w:rsid w:val="00CE0DAE"/>
    <w:rsid w:val="00CE0E14"/>
    <w:rsid w:val="00CE0E23"/>
    <w:rsid w:val="00CE1008"/>
    <w:rsid w:val="00CE1318"/>
    <w:rsid w:val="00CE15B0"/>
    <w:rsid w:val="00CE17CC"/>
    <w:rsid w:val="00CE1893"/>
    <w:rsid w:val="00CE194D"/>
    <w:rsid w:val="00CE1B95"/>
    <w:rsid w:val="00CE1EA4"/>
    <w:rsid w:val="00CE2069"/>
    <w:rsid w:val="00CE20B8"/>
    <w:rsid w:val="00CE22DB"/>
    <w:rsid w:val="00CE2538"/>
    <w:rsid w:val="00CE2643"/>
    <w:rsid w:val="00CE2747"/>
    <w:rsid w:val="00CE278C"/>
    <w:rsid w:val="00CE2E12"/>
    <w:rsid w:val="00CE2EB7"/>
    <w:rsid w:val="00CE30AB"/>
    <w:rsid w:val="00CE3539"/>
    <w:rsid w:val="00CE3C4E"/>
    <w:rsid w:val="00CE479D"/>
    <w:rsid w:val="00CE49E1"/>
    <w:rsid w:val="00CE4BA9"/>
    <w:rsid w:val="00CE4BB7"/>
    <w:rsid w:val="00CE5046"/>
    <w:rsid w:val="00CE535C"/>
    <w:rsid w:val="00CE56B2"/>
    <w:rsid w:val="00CE5A7B"/>
    <w:rsid w:val="00CE5A8D"/>
    <w:rsid w:val="00CE64BF"/>
    <w:rsid w:val="00CE6DEB"/>
    <w:rsid w:val="00CE732E"/>
    <w:rsid w:val="00CE7535"/>
    <w:rsid w:val="00CE7698"/>
    <w:rsid w:val="00CE7948"/>
    <w:rsid w:val="00CE7AF3"/>
    <w:rsid w:val="00CE7D46"/>
    <w:rsid w:val="00CF01E7"/>
    <w:rsid w:val="00CF056D"/>
    <w:rsid w:val="00CF05F3"/>
    <w:rsid w:val="00CF1491"/>
    <w:rsid w:val="00CF1CC7"/>
    <w:rsid w:val="00CF1EAE"/>
    <w:rsid w:val="00CF20FB"/>
    <w:rsid w:val="00CF2269"/>
    <w:rsid w:val="00CF26F6"/>
    <w:rsid w:val="00CF2D16"/>
    <w:rsid w:val="00CF31E7"/>
    <w:rsid w:val="00CF333D"/>
    <w:rsid w:val="00CF351F"/>
    <w:rsid w:val="00CF3870"/>
    <w:rsid w:val="00CF3CFC"/>
    <w:rsid w:val="00CF4260"/>
    <w:rsid w:val="00CF436B"/>
    <w:rsid w:val="00CF46E6"/>
    <w:rsid w:val="00CF46FF"/>
    <w:rsid w:val="00CF4DC2"/>
    <w:rsid w:val="00CF4F32"/>
    <w:rsid w:val="00CF5956"/>
    <w:rsid w:val="00CF5D31"/>
    <w:rsid w:val="00CF685F"/>
    <w:rsid w:val="00CF6F26"/>
    <w:rsid w:val="00CF6F31"/>
    <w:rsid w:val="00CF7073"/>
    <w:rsid w:val="00CF72C8"/>
    <w:rsid w:val="00CF75A6"/>
    <w:rsid w:val="00CF7E22"/>
    <w:rsid w:val="00CF7F02"/>
    <w:rsid w:val="00D0059C"/>
    <w:rsid w:val="00D0082B"/>
    <w:rsid w:val="00D00977"/>
    <w:rsid w:val="00D00C31"/>
    <w:rsid w:val="00D00C5D"/>
    <w:rsid w:val="00D01516"/>
    <w:rsid w:val="00D01828"/>
    <w:rsid w:val="00D01A1F"/>
    <w:rsid w:val="00D01E4F"/>
    <w:rsid w:val="00D01FE8"/>
    <w:rsid w:val="00D0225D"/>
    <w:rsid w:val="00D024A2"/>
    <w:rsid w:val="00D025C7"/>
    <w:rsid w:val="00D026DB"/>
    <w:rsid w:val="00D02948"/>
    <w:rsid w:val="00D029AE"/>
    <w:rsid w:val="00D02D24"/>
    <w:rsid w:val="00D032FD"/>
    <w:rsid w:val="00D03829"/>
    <w:rsid w:val="00D03BC3"/>
    <w:rsid w:val="00D03C62"/>
    <w:rsid w:val="00D0410C"/>
    <w:rsid w:val="00D04AAE"/>
    <w:rsid w:val="00D05AF7"/>
    <w:rsid w:val="00D05B6C"/>
    <w:rsid w:val="00D06467"/>
    <w:rsid w:val="00D06498"/>
    <w:rsid w:val="00D069E7"/>
    <w:rsid w:val="00D06BE8"/>
    <w:rsid w:val="00D06F1B"/>
    <w:rsid w:val="00D06F2D"/>
    <w:rsid w:val="00D07034"/>
    <w:rsid w:val="00D07390"/>
    <w:rsid w:val="00D075D7"/>
    <w:rsid w:val="00D079A4"/>
    <w:rsid w:val="00D079AD"/>
    <w:rsid w:val="00D07AB6"/>
    <w:rsid w:val="00D07E9C"/>
    <w:rsid w:val="00D1016C"/>
    <w:rsid w:val="00D10F98"/>
    <w:rsid w:val="00D1113A"/>
    <w:rsid w:val="00D113AA"/>
    <w:rsid w:val="00D1145D"/>
    <w:rsid w:val="00D11867"/>
    <w:rsid w:val="00D11887"/>
    <w:rsid w:val="00D11E70"/>
    <w:rsid w:val="00D12062"/>
    <w:rsid w:val="00D12088"/>
    <w:rsid w:val="00D12557"/>
    <w:rsid w:val="00D12612"/>
    <w:rsid w:val="00D1288D"/>
    <w:rsid w:val="00D12C2D"/>
    <w:rsid w:val="00D1354A"/>
    <w:rsid w:val="00D1360A"/>
    <w:rsid w:val="00D1361F"/>
    <w:rsid w:val="00D13D13"/>
    <w:rsid w:val="00D13DBC"/>
    <w:rsid w:val="00D1412D"/>
    <w:rsid w:val="00D143AF"/>
    <w:rsid w:val="00D14508"/>
    <w:rsid w:val="00D14A8A"/>
    <w:rsid w:val="00D14AB6"/>
    <w:rsid w:val="00D14D25"/>
    <w:rsid w:val="00D14D8A"/>
    <w:rsid w:val="00D155B9"/>
    <w:rsid w:val="00D155DE"/>
    <w:rsid w:val="00D15CB0"/>
    <w:rsid w:val="00D15D8A"/>
    <w:rsid w:val="00D1621D"/>
    <w:rsid w:val="00D16608"/>
    <w:rsid w:val="00D166D5"/>
    <w:rsid w:val="00D166DF"/>
    <w:rsid w:val="00D16856"/>
    <w:rsid w:val="00D16A1D"/>
    <w:rsid w:val="00D17100"/>
    <w:rsid w:val="00D177BC"/>
    <w:rsid w:val="00D178BB"/>
    <w:rsid w:val="00D17A7A"/>
    <w:rsid w:val="00D17F2F"/>
    <w:rsid w:val="00D20278"/>
    <w:rsid w:val="00D20F97"/>
    <w:rsid w:val="00D21587"/>
    <w:rsid w:val="00D215BB"/>
    <w:rsid w:val="00D215C6"/>
    <w:rsid w:val="00D21CEB"/>
    <w:rsid w:val="00D21E2A"/>
    <w:rsid w:val="00D22C68"/>
    <w:rsid w:val="00D230A7"/>
    <w:rsid w:val="00D230E6"/>
    <w:rsid w:val="00D23FC7"/>
    <w:rsid w:val="00D24605"/>
    <w:rsid w:val="00D24AE0"/>
    <w:rsid w:val="00D25157"/>
    <w:rsid w:val="00D25363"/>
    <w:rsid w:val="00D2547F"/>
    <w:rsid w:val="00D25491"/>
    <w:rsid w:val="00D26276"/>
    <w:rsid w:val="00D26332"/>
    <w:rsid w:val="00D265DC"/>
    <w:rsid w:val="00D26FCF"/>
    <w:rsid w:val="00D27098"/>
    <w:rsid w:val="00D2731B"/>
    <w:rsid w:val="00D27493"/>
    <w:rsid w:val="00D2761A"/>
    <w:rsid w:val="00D27699"/>
    <w:rsid w:val="00D277E9"/>
    <w:rsid w:val="00D27A34"/>
    <w:rsid w:val="00D303B9"/>
    <w:rsid w:val="00D306E6"/>
    <w:rsid w:val="00D30778"/>
    <w:rsid w:val="00D30F50"/>
    <w:rsid w:val="00D31256"/>
    <w:rsid w:val="00D322FB"/>
    <w:rsid w:val="00D3257A"/>
    <w:rsid w:val="00D32713"/>
    <w:rsid w:val="00D32738"/>
    <w:rsid w:val="00D32773"/>
    <w:rsid w:val="00D32B45"/>
    <w:rsid w:val="00D332F6"/>
    <w:rsid w:val="00D334E1"/>
    <w:rsid w:val="00D33C4D"/>
    <w:rsid w:val="00D33CC1"/>
    <w:rsid w:val="00D33D9B"/>
    <w:rsid w:val="00D33E35"/>
    <w:rsid w:val="00D33FE0"/>
    <w:rsid w:val="00D3400C"/>
    <w:rsid w:val="00D345C0"/>
    <w:rsid w:val="00D34A2A"/>
    <w:rsid w:val="00D352C5"/>
    <w:rsid w:val="00D354F7"/>
    <w:rsid w:val="00D35F11"/>
    <w:rsid w:val="00D3687F"/>
    <w:rsid w:val="00D36B8B"/>
    <w:rsid w:val="00D37334"/>
    <w:rsid w:val="00D40E62"/>
    <w:rsid w:val="00D41018"/>
    <w:rsid w:val="00D410B6"/>
    <w:rsid w:val="00D41694"/>
    <w:rsid w:val="00D41F7A"/>
    <w:rsid w:val="00D42398"/>
    <w:rsid w:val="00D424A3"/>
    <w:rsid w:val="00D42876"/>
    <w:rsid w:val="00D430B6"/>
    <w:rsid w:val="00D431CD"/>
    <w:rsid w:val="00D43343"/>
    <w:rsid w:val="00D43E1B"/>
    <w:rsid w:val="00D44440"/>
    <w:rsid w:val="00D446CD"/>
    <w:rsid w:val="00D447AB"/>
    <w:rsid w:val="00D447CE"/>
    <w:rsid w:val="00D449A2"/>
    <w:rsid w:val="00D44BE1"/>
    <w:rsid w:val="00D45238"/>
    <w:rsid w:val="00D45A2C"/>
    <w:rsid w:val="00D45AE8"/>
    <w:rsid w:val="00D45EB0"/>
    <w:rsid w:val="00D467CC"/>
    <w:rsid w:val="00D4701E"/>
    <w:rsid w:val="00D475C7"/>
    <w:rsid w:val="00D47B0D"/>
    <w:rsid w:val="00D47CC5"/>
    <w:rsid w:val="00D47F43"/>
    <w:rsid w:val="00D50156"/>
    <w:rsid w:val="00D50182"/>
    <w:rsid w:val="00D50272"/>
    <w:rsid w:val="00D504D2"/>
    <w:rsid w:val="00D5084C"/>
    <w:rsid w:val="00D50BFE"/>
    <w:rsid w:val="00D50C86"/>
    <w:rsid w:val="00D51040"/>
    <w:rsid w:val="00D513E0"/>
    <w:rsid w:val="00D516F3"/>
    <w:rsid w:val="00D51A60"/>
    <w:rsid w:val="00D51AF9"/>
    <w:rsid w:val="00D51EC9"/>
    <w:rsid w:val="00D51F8A"/>
    <w:rsid w:val="00D52040"/>
    <w:rsid w:val="00D53368"/>
    <w:rsid w:val="00D533CE"/>
    <w:rsid w:val="00D538C5"/>
    <w:rsid w:val="00D53A6D"/>
    <w:rsid w:val="00D545E3"/>
    <w:rsid w:val="00D54876"/>
    <w:rsid w:val="00D54C51"/>
    <w:rsid w:val="00D54DC9"/>
    <w:rsid w:val="00D54EAE"/>
    <w:rsid w:val="00D54ECC"/>
    <w:rsid w:val="00D5622D"/>
    <w:rsid w:val="00D564D9"/>
    <w:rsid w:val="00D56582"/>
    <w:rsid w:val="00D56A69"/>
    <w:rsid w:val="00D56FAD"/>
    <w:rsid w:val="00D5762E"/>
    <w:rsid w:val="00D57950"/>
    <w:rsid w:val="00D57A39"/>
    <w:rsid w:val="00D57D05"/>
    <w:rsid w:val="00D602D6"/>
    <w:rsid w:val="00D604BB"/>
    <w:rsid w:val="00D6060A"/>
    <w:rsid w:val="00D60F21"/>
    <w:rsid w:val="00D611A6"/>
    <w:rsid w:val="00D61229"/>
    <w:rsid w:val="00D6141A"/>
    <w:rsid w:val="00D61424"/>
    <w:rsid w:val="00D616B3"/>
    <w:rsid w:val="00D616DD"/>
    <w:rsid w:val="00D6180B"/>
    <w:rsid w:val="00D61F83"/>
    <w:rsid w:val="00D624D1"/>
    <w:rsid w:val="00D62534"/>
    <w:rsid w:val="00D626AC"/>
    <w:rsid w:val="00D62D51"/>
    <w:rsid w:val="00D6357E"/>
    <w:rsid w:val="00D636FF"/>
    <w:rsid w:val="00D63746"/>
    <w:rsid w:val="00D64135"/>
    <w:rsid w:val="00D65256"/>
    <w:rsid w:val="00D655A3"/>
    <w:rsid w:val="00D657FD"/>
    <w:rsid w:val="00D6596B"/>
    <w:rsid w:val="00D65E73"/>
    <w:rsid w:val="00D65EE9"/>
    <w:rsid w:val="00D668DB"/>
    <w:rsid w:val="00D66DA7"/>
    <w:rsid w:val="00D66ED8"/>
    <w:rsid w:val="00D677B3"/>
    <w:rsid w:val="00D67AB0"/>
    <w:rsid w:val="00D67DA9"/>
    <w:rsid w:val="00D7014A"/>
    <w:rsid w:val="00D70371"/>
    <w:rsid w:val="00D71193"/>
    <w:rsid w:val="00D71206"/>
    <w:rsid w:val="00D71285"/>
    <w:rsid w:val="00D713AE"/>
    <w:rsid w:val="00D715CD"/>
    <w:rsid w:val="00D71C99"/>
    <w:rsid w:val="00D71CF0"/>
    <w:rsid w:val="00D71EF1"/>
    <w:rsid w:val="00D7224F"/>
    <w:rsid w:val="00D7243D"/>
    <w:rsid w:val="00D7258E"/>
    <w:rsid w:val="00D72898"/>
    <w:rsid w:val="00D72E41"/>
    <w:rsid w:val="00D7385F"/>
    <w:rsid w:val="00D73F9E"/>
    <w:rsid w:val="00D73FC4"/>
    <w:rsid w:val="00D74215"/>
    <w:rsid w:val="00D74700"/>
    <w:rsid w:val="00D74829"/>
    <w:rsid w:val="00D74A03"/>
    <w:rsid w:val="00D74BA6"/>
    <w:rsid w:val="00D74EE9"/>
    <w:rsid w:val="00D74F3B"/>
    <w:rsid w:val="00D750F7"/>
    <w:rsid w:val="00D7522E"/>
    <w:rsid w:val="00D75523"/>
    <w:rsid w:val="00D75583"/>
    <w:rsid w:val="00D75705"/>
    <w:rsid w:val="00D75712"/>
    <w:rsid w:val="00D75EBA"/>
    <w:rsid w:val="00D75EE4"/>
    <w:rsid w:val="00D75FE2"/>
    <w:rsid w:val="00D760A6"/>
    <w:rsid w:val="00D760F3"/>
    <w:rsid w:val="00D76312"/>
    <w:rsid w:val="00D7651A"/>
    <w:rsid w:val="00D76913"/>
    <w:rsid w:val="00D76B0A"/>
    <w:rsid w:val="00D76D63"/>
    <w:rsid w:val="00D77437"/>
    <w:rsid w:val="00D775BC"/>
    <w:rsid w:val="00D775C6"/>
    <w:rsid w:val="00D776B5"/>
    <w:rsid w:val="00D77FB7"/>
    <w:rsid w:val="00D8067E"/>
    <w:rsid w:val="00D822A7"/>
    <w:rsid w:val="00D82380"/>
    <w:rsid w:val="00D82A12"/>
    <w:rsid w:val="00D82A42"/>
    <w:rsid w:val="00D82CBA"/>
    <w:rsid w:val="00D82D8F"/>
    <w:rsid w:val="00D83147"/>
    <w:rsid w:val="00D8323F"/>
    <w:rsid w:val="00D83655"/>
    <w:rsid w:val="00D83769"/>
    <w:rsid w:val="00D83896"/>
    <w:rsid w:val="00D840C1"/>
    <w:rsid w:val="00D84553"/>
    <w:rsid w:val="00D84663"/>
    <w:rsid w:val="00D84EBD"/>
    <w:rsid w:val="00D8508F"/>
    <w:rsid w:val="00D85A84"/>
    <w:rsid w:val="00D85BF8"/>
    <w:rsid w:val="00D860C2"/>
    <w:rsid w:val="00D8665E"/>
    <w:rsid w:val="00D86678"/>
    <w:rsid w:val="00D8670F"/>
    <w:rsid w:val="00D86897"/>
    <w:rsid w:val="00D86BFA"/>
    <w:rsid w:val="00D86D42"/>
    <w:rsid w:val="00D87086"/>
    <w:rsid w:val="00D878F7"/>
    <w:rsid w:val="00D90054"/>
    <w:rsid w:val="00D90B4B"/>
    <w:rsid w:val="00D90DF5"/>
    <w:rsid w:val="00D9127F"/>
    <w:rsid w:val="00D92484"/>
    <w:rsid w:val="00D924C6"/>
    <w:rsid w:val="00D924CD"/>
    <w:rsid w:val="00D92594"/>
    <w:rsid w:val="00D9261B"/>
    <w:rsid w:val="00D9265F"/>
    <w:rsid w:val="00D935F5"/>
    <w:rsid w:val="00D941B0"/>
    <w:rsid w:val="00D94272"/>
    <w:rsid w:val="00D943BE"/>
    <w:rsid w:val="00D94542"/>
    <w:rsid w:val="00D94A45"/>
    <w:rsid w:val="00D94A81"/>
    <w:rsid w:val="00D94B29"/>
    <w:rsid w:val="00D94B8F"/>
    <w:rsid w:val="00D950EE"/>
    <w:rsid w:val="00D95289"/>
    <w:rsid w:val="00D959E7"/>
    <w:rsid w:val="00D95FF7"/>
    <w:rsid w:val="00D96649"/>
    <w:rsid w:val="00D96978"/>
    <w:rsid w:val="00D971FC"/>
    <w:rsid w:val="00D9764C"/>
    <w:rsid w:val="00D9767D"/>
    <w:rsid w:val="00D97A19"/>
    <w:rsid w:val="00D97D5E"/>
    <w:rsid w:val="00D97D6B"/>
    <w:rsid w:val="00DA01BD"/>
    <w:rsid w:val="00DA023E"/>
    <w:rsid w:val="00DA0BFF"/>
    <w:rsid w:val="00DA0FEB"/>
    <w:rsid w:val="00DA105B"/>
    <w:rsid w:val="00DA1091"/>
    <w:rsid w:val="00DA1756"/>
    <w:rsid w:val="00DA1771"/>
    <w:rsid w:val="00DA17DE"/>
    <w:rsid w:val="00DA1A43"/>
    <w:rsid w:val="00DA21F1"/>
    <w:rsid w:val="00DA27DC"/>
    <w:rsid w:val="00DA2A9E"/>
    <w:rsid w:val="00DA2F2C"/>
    <w:rsid w:val="00DA2FC5"/>
    <w:rsid w:val="00DA3103"/>
    <w:rsid w:val="00DA3559"/>
    <w:rsid w:val="00DA49AE"/>
    <w:rsid w:val="00DA49FC"/>
    <w:rsid w:val="00DA4AD4"/>
    <w:rsid w:val="00DA4C57"/>
    <w:rsid w:val="00DA4FCF"/>
    <w:rsid w:val="00DA516F"/>
    <w:rsid w:val="00DA523D"/>
    <w:rsid w:val="00DA55A8"/>
    <w:rsid w:val="00DA55DA"/>
    <w:rsid w:val="00DA5641"/>
    <w:rsid w:val="00DA5BA5"/>
    <w:rsid w:val="00DA6067"/>
    <w:rsid w:val="00DA611E"/>
    <w:rsid w:val="00DA694B"/>
    <w:rsid w:val="00DA6BD3"/>
    <w:rsid w:val="00DA6E1D"/>
    <w:rsid w:val="00DA6F43"/>
    <w:rsid w:val="00DA712B"/>
    <w:rsid w:val="00DA7578"/>
    <w:rsid w:val="00DA7648"/>
    <w:rsid w:val="00DA76A9"/>
    <w:rsid w:val="00DA78E1"/>
    <w:rsid w:val="00DB038C"/>
    <w:rsid w:val="00DB0512"/>
    <w:rsid w:val="00DB067A"/>
    <w:rsid w:val="00DB09D5"/>
    <w:rsid w:val="00DB0BDB"/>
    <w:rsid w:val="00DB0F14"/>
    <w:rsid w:val="00DB1109"/>
    <w:rsid w:val="00DB116B"/>
    <w:rsid w:val="00DB1813"/>
    <w:rsid w:val="00DB1925"/>
    <w:rsid w:val="00DB1CED"/>
    <w:rsid w:val="00DB1E48"/>
    <w:rsid w:val="00DB1EC2"/>
    <w:rsid w:val="00DB2722"/>
    <w:rsid w:val="00DB275D"/>
    <w:rsid w:val="00DB2C34"/>
    <w:rsid w:val="00DB2DFB"/>
    <w:rsid w:val="00DB3145"/>
    <w:rsid w:val="00DB3636"/>
    <w:rsid w:val="00DB393E"/>
    <w:rsid w:val="00DB4FA8"/>
    <w:rsid w:val="00DB56A5"/>
    <w:rsid w:val="00DB58F5"/>
    <w:rsid w:val="00DB6075"/>
    <w:rsid w:val="00DB6D01"/>
    <w:rsid w:val="00DB70B0"/>
    <w:rsid w:val="00DB7687"/>
    <w:rsid w:val="00DB778E"/>
    <w:rsid w:val="00DB799A"/>
    <w:rsid w:val="00DB7BBE"/>
    <w:rsid w:val="00DB7C42"/>
    <w:rsid w:val="00DB7D9C"/>
    <w:rsid w:val="00DC03DF"/>
    <w:rsid w:val="00DC0572"/>
    <w:rsid w:val="00DC0DE4"/>
    <w:rsid w:val="00DC0E5B"/>
    <w:rsid w:val="00DC13DF"/>
    <w:rsid w:val="00DC16AC"/>
    <w:rsid w:val="00DC1EFD"/>
    <w:rsid w:val="00DC232B"/>
    <w:rsid w:val="00DC2699"/>
    <w:rsid w:val="00DC29BD"/>
    <w:rsid w:val="00DC2AD6"/>
    <w:rsid w:val="00DC2CDA"/>
    <w:rsid w:val="00DC2D1D"/>
    <w:rsid w:val="00DC2EFC"/>
    <w:rsid w:val="00DC3BE8"/>
    <w:rsid w:val="00DC40B0"/>
    <w:rsid w:val="00DC4165"/>
    <w:rsid w:val="00DC4706"/>
    <w:rsid w:val="00DC48BF"/>
    <w:rsid w:val="00DC5CB4"/>
    <w:rsid w:val="00DC5EE6"/>
    <w:rsid w:val="00DC60B3"/>
    <w:rsid w:val="00DC615E"/>
    <w:rsid w:val="00DC66DD"/>
    <w:rsid w:val="00DC6746"/>
    <w:rsid w:val="00DC6E5D"/>
    <w:rsid w:val="00DC7208"/>
    <w:rsid w:val="00DC7429"/>
    <w:rsid w:val="00DC79A1"/>
    <w:rsid w:val="00DC79D1"/>
    <w:rsid w:val="00DC7A7E"/>
    <w:rsid w:val="00DC7A8B"/>
    <w:rsid w:val="00DC7F51"/>
    <w:rsid w:val="00DD009D"/>
    <w:rsid w:val="00DD098C"/>
    <w:rsid w:val="00DD0CE6"/>
    <w:rsid w:val="00DD0EFF"/>
    <w:rsid w:val="00DD1205"/>
    <w:rsid w:val="00DD1798"/>
    <w:rsid w:val="00DD1EB1"/>
    <w:rsid w:val="00DD20C4"/>
    <w:rsid w:val="00DD24CC"/>
    <w:rsid w:val="00DD271E"/>
    <w:rsid w:val="00DD29B9"/>
    <w:rsid w:val="00DD2BC5"/>
    <w:rsid w:val="00DD3210"/>
    <w:rsid w:val="00DD34FC"/>
    <w:rsid w:val="00DD39F3"/>
    <w:rsid w:val="00DD3CAE"/>
    <w:rsid w:val="00DD401E"/>
    <w:rsid w:val="00DD44FD"/>
    <w:rsid w:val="00DD48B5"/>
    <w:rsid w:val="00DD56AE"/>
    <w:rsid w:val="00DD5CC5"/>
    <w:rsid w:val="00DD5FD2"/>
    <w:rsid w:val="00DD611E"/>
    <w:rsid w:val="00DD6309"/>
    <w:rsid w:val="00DD6680"/>
    <w:rsid w:val="00DD74FA"/>
    <w:rsid w:val="00DD7CB9"/>
    <w:rsid w:val="00DD7EBE"/>
    <w:rsid w:val="00DE0827"/>
    <w:rsid w:val="00DE0A02"/>
    <w:rsid w:val="00DE101C"/>
    <w:rsid w:val="00DE1276"/>
    <w:rsid w:val="00DE12A0"/>
    <w:rsid w:val="00DE1FC4"/>
    <w:rsid w:val="00DE2025"/>
    <w:rsid w:val="00DE2112"/>
    <w:rsid w:val="00DE2592"/>
    <w:rsid w:val="00DE2E64"/>
    <w:rsid w:val="00DE37A0"/>
    <w:rsid w:val="00DE394A"/>
    <w:rsid w:val="00DE3CA6"/>
    <w:rsid w:val="00DE3DD1"/>
    <w:rsid w:val="00DE406F"/>
    <w:rsid w:val="00DE44A1"/>
    <w:rsid w:val="00DE45BD"/>
    <w:rsid w:val="00DE5248"/>
    <w:rsid w:val="00DE5323"/>
    <w:rsid w:val="00DE546D"/>
    <w:rsid w:val="00DE581F"/>
    <w:rsid w:val="00DE5CC8"/>
    <w:rsid w:val="00DE6C34"/>
    <w:rsid w:val="00DE7039"/>
    <w:rsid w:val="00DE771D"/>
    <w:rsid w:val="00DE78D3"/>
    <w:rsid w:val="00DE79BC"/>
    <w:rsid w:val="00DE7EE9"/>
    <w:rsid w:val="00DE7FCA"/>
    <w:rsid w:val="00DF01D7"/>
    <w:rsid w:val="00DF05D1"/>
    <w:rsid w:val="00DF09C3"/>
    <w:rsid w:val="00DF09D5"/>
    <w:rsid w:val="00DF0B99"/>
    <w:rsid w:val="00DF0D1E"/>
    <w:rsid w:val="00DF10EB"/>
    <w:rsid w:val="00DF1318"/>
    <w:rsid w:val="00DF1676"/>
    <w:rsid w:val="00DF17FB"/>
    <w:rsid w:val="00DF1AD9"/>
    <w:rsid w:val="00DF1CE8"/>
    <w:rsid w:val="00DF1E35"/>
    <w:rsid w:val="00DF2474"/>
    <w:rsid w:val="00DF2818"/>
    <w:rsid w:val="00DF2EEF"/>
    <w:rsid w:val="00DF3103"/>
    <w:rsid w:val="00DF3286"/>
    <w:rsid w:val="00DF3FD7"/>
    <w:rsid w:val="00DF4200"/>
    <w:rsid w:val="00DF48EE"/>
    <w:rsid w:val="00DF4C8E"/>
    <w:rsid w:val="00DF4E3B"/>
    <w:rsid w:val="00DF4ECE"/>
    <w:rsid w:val="00DF52DB"/>
    <w:rsid w:val="00DF5421"/>
    <w:rsid w:val="00DF561D"/>
    <w:rsid w:val="00DF56B3"/>
    <w:rsid w:val="00DF578A"/>
    <w:rsid w:val="00DF5835"/>
    <w:rsid w:val="00DF5CBC"/>
    <w:rsid w:val="00DF5E8B"/>
    <w:rsid w:val="00DF60AC"/>
    <w:rsid w:val="00DF621C"/>
    <w:rsid w:val="00DF62BC"/>
    <w:rsid w:val="00DF63FA"/>
    <w:rsid w:val="00DF6450"/>
    <w:rsid w:val="00DF657E"/>
    <w:rsid w:val="00DF661B"/>
    <w:rsid w:val="00DF66D7"/>
    <w:rsid w:val="00DF6CD6"/>
    <w:rsid w:val="00DF7015"/>
    <w:rsid w:val="00DF7021"/>
    <w:rsid w:val="00DF705E"/>
    <w:rsid w:val="00DF729C"/>
    <w:rsid w:val="00DF72DE"/>
    <w:rsid w:val="00DF78F4"/>
    <w:rsid w:val="00DF7B2D"/>
    <w:rsid w:val="00DF7F75"/>
    <w:rsid w:val="00E003AB"/>
    <w:rsid w:val="00E003C9"/>
    <w:rsid w:val="00E00433"/>
    <w:rsid w:val="00E006D9"/>
    <w:rsid w:val="00E00928"/>
    <w:rsid w:val="00E00B91"/>
    <w:rsid w:val="00E012E4"/>
    <w:rsid w:val="00E01974"/>
    <w:rsid w:val="00E01A32"/>
    <w:rsid w:val="00E01B6E"/>
    <w:rsid w:val="00E01E30"/>
    <w:rsid w:val="00E01FB6"/>
    <w:rsid w:val="00E0204A"/>
    <w:rsid w:val="00E0204E"/>
    <w:rsid w:val="00E020BE"/>
    <w:rsid w:val="00E023A6"/>
    <w:rsid w:val="00E02843"/>
    <w:rsid w:val="00E02A90"/>
    <w:rsid w:val="00E02DA7"/>
    <w:rsid w:val="00E02FF3"/>
    <w:rsid w:val="00E032C6"/>
    <w:rsid w:val="00E038DB"/>
    <w:rsid w:val="00E03B06"/>
    <w:rsid w:val="00E04051"/>
    <w:rsid w:val="00E04573"/>
    <w:rsid w:val="00E04C66"/>
    <w:rsid w:val="00E054E6"/>
    <w:rsid w:val="00E05754"/>
    <w:rsid w:val="00E05ED8"/>
    <w:rsid w:val="00E064D4"/>
    <w:rsid w:val="00E065EE"/>
    <w:rsid w:val="00E07285"/>
    <w:rsid w:val="00E074F3"/>
    <w:rsid w:val="00E077EF"/>
    <w:rsid w:val="00E07891"/>
    <w:rsid w:val="00E07983"/>
    <w:rsid w:val="00E07FEA"/>
    <w:rsid w:val="00E102A0"/>
    <w:rsid w:val="00E104BB"/>
    <w:rsid w:val="00E10ACD"/>
    <w:rsid w:val="00E10D52"/>
    <w:rsid w:val="00E110E5"/>
    <w:rsid w:val="00E113EB"/>
    <w:rsid w:val="00E114A8"/>
    <w:rsid w:val="00E1168F"/>
    <w:rsid w:val="00E1182F"/>
    <w:rsid w:val="00E11D6F"/>
    <w:rsid w:val="00E11DFB"/>
    <w:rsid w:val="00E1228A"/>
    <w:rsid w:val="00E12FC7"/>
    <w:rsid w:val="00E131F8"/>
    <w:rsid w:val="00E13CA6"/>
    <w:rsid w:val="00E142B3"/>
    <w:rsid w:val="00E14428"/>
    <w:rsid w:val="00E14B97"/>
    <w:rsid w:val="00E14FB9"/>
    <w:rsid w:val="00E1513E"/>
    <w:rsid w:val="00E15754"/>
    <w:rsid w:val="00E15BD5"/>
    <w:rsid w:val="00E15F42"/>
    <w:rsid w:val="00E161B1"/>
    <w:rsid w:val="00E16B79"/>
    <w:rsid w:val="00E16C65"/>
    <w:rsid w:val="00E17032"/>
    <w:rsid w:val="00E170CA"/>
    <w:rsid w:val="00E17141"/>
    <w:rsid w:val="00E17C0B"/>
    <w:rsid w:val="00E2053E"/>
    <w:rsid w:val="00E21218"/>
    <w:rsid w:val="00E21228"/>
    <w:rsid w:val="00E212BA"/>
    <w:rsid w:val="00E215E5"/>
    <w:rsid w:val="00E21C22"/>
    <w:rsid w:val="00E21DC0"/>
    <w:rsid w:val="00E23A3C"/>
    <w:rsid w:val="00E23A89"/>
    <w:rsid w:val="00E23E1A"/>
    <w:rsid w:val="00E24595"/>
    <w:rsid w:val="00E246C6"/>
    <w:rsid w:val="00E248FD"/>
    <w:rsid w:val="00E24EB7"/>
    <w:rsid w:val="00E26066"/>
    <w:rsid w:val="00E26903"/>
    <w:rsid w:val="00E2725D"/>
    <w:rsid w:val="00E27AA5"/>
    <w:rsid w:val="00E27BE3"/>
    <w:rsid w:val="00E3020A"/>
    <w:rsid w:val="00E3023C"/>
    <w:rsid w:val="00E30D7F"/>
    <w:rsid w:val="00E30D9D"/>
    <w:rsid w:val="00E30F1B"/>
    <w:rsid w:val="00E312BE"/>
    <w:rsid w:val="00E3130D"/>
    <w:rsid w:val="00E31481"/>
    <w:rsid w:val="00E31B85"/>
    <w:rsid w:val="00E31E1A"/>
    <w:rsid w:val="00E31FDD"/>
    <w:rsid w:val="00E32175"/>
    <w:rsid w:val="00E324A5"/>
    <w:rsid w:val="00E3256C"/>
    <w:rsid w:val="00E32697"/>
    <w:rsid w:val="00E32773"/>
    <w:rsid w:val="00E32CD4"/>
    <w:rsid w:val="00E32E9E"/>
    <w:rsid w:val="00E32EA2"/>
    <w:rsid w:val="00E33069"/>
    <w:rsid w:val="00E333C1"/>
    <w:rsid w:val="00E33438"/>
    <w:rsid w:val="00E3373C"/>
    <w:rsid w:val="00E338A6"/>
    <w:rsid w:val="00E33A90"/>
    <w:rsid w:val="00E33AD2"/>
    <w:rsid w:val="00E33B14"/>
    <w:rsid w:val="00E33CAF"/>
    <w:rsid w:val="00E34351"/>
    <w:rsid w:val="00E34411"/>
    <w:rsid w:val="00E346CF"/>
    <w:rsid w:val="00E3537B"/>
    <w:rsid w:val="00E3569E"/>
    <w:rsid w:val="00E35B13"/>
    <w:rsid w:val="00E35ECC"/>
    <w:rsid w:val="00E3613B"/>
    <w:rsid w:val="00E36529"/>
    <w:rsid w:val="00E36683"/>
    <w:rsid w:val="00E36CAA"/>
    <w:rsid w:val="00E36CCC"/>
    <w:rsid w:val="00E37076"/>
    <w:rsid w:val="00E370DD"/>
    <w:rsid w:val="00E37AEF"/>
    <w:rsid w:val="00E37F46"/>
    <w:rsid w:val="00E40126"/>
    <w:rsid w:val="00E409EF"/>
    <w:rsid w:val="00E40C79"/>
    <w:rsid w:val="00E40E46"/>
    <w:rsid w:val="00E40F89"/>
    <w:rsid w:val="00E40FFD"/>
    <w:rsid w:val="00E41D8C"/>
    <w:rsid w:val="00E41F0A"/>
    <w:rsid w:val="00E42281"/>
    <w:rsid w:val="00E42605"/>
    <w:rsid w:val="00E428C6"/>
    <w:rsid w:val="00E42D1D"/>
    <w:rsid w:val="00E43692"/>
    <w:rsid w:val="00E441B5"/>
    <w:rsid w:val="00E4455A"/>
    <w:rsid w:val="00E44589"/>
    <w:rsid w:val="00E44817"/>
    <w:rsid w:val="00E44B2D"/>
    <w:rsid w:val="00E44D95"/>
    <w:rsid w:val="00E44F63"/>
    <w:rsid w:val="00E44FF8"/>
    <w:rsid w:val="00E45736"/>
    <w:rsid w:val="00E4574C"/>
    <w:rsid w:val="00E45B68"/>
    <w:rsid w:val="00E45BCA"/>
    <w:rsid w:val="00E45F08"/>
    <w:rsid w:val="00E45FBC"/>
    <w:rsid w:val="00E46007"/>
    <w:rsid w:val="00E46095"/>
    <w:rsid w:val="00E46DD3"/>
    <w:rsid w:val="00E47463"/>
    <w:rsid w:val="00E4778A"/>
    <w:rsid w:val="00E47E45"/>
    <w:rsid w:val="00E47E49"/>
    <w:rsid w:val="00E501D6"/>
    <w:rsid w:val="00E5051F"/>
    <w:rsid w:val="00E5099D"/>
    <w:rsid w:val="00E50A32"/>
    <w:rsid w:val="00E50ABC"/>
    <w:rsid w:val="00E518A0"/>
    <w:rsid w:val="00E52098"/>
    <w:rsid w:val="00E52353"/>
    <w:rsid w:val="00E52E4E"/>
    <w:rsid w:val="00E53029"/>
    <w:rsid w:val="00E5321B"/>
    <w:rsid w:val="00E533F6"/>
    <w:rsid w:val="00E538C1"/>
    <w:rsid w:val="00E5397A"/>
    <w:rsid w:val="00E53EC7"/>
    <w:rsid w:val="00E54B72"/>
    <w:rsid w:val="00E551C6"/>
    <w:rsid w:val="00E554AC"/>
    <w:rsid w:val="00E555F9"/>
    <w:rsid w:val="00E558DF"/>
    <w:rsid w:val="00E55CE0"/>
    <w:rsid w:val="00E55D7B"/>
    <w:rsid w:val="00E5603A"/>
    <w:rsid w:val="00E560AC"/>
    <w:rsid w:val="00E561A4"/>
    <w:rsid w:val="00E568ED"/>
    <w:rsid w:val="00E56D39"/>
    <w:rsid w:val="00E56F23"/>
    <w:rsid w:val="00E56F36"/>
    <w:rsid w:val="00E56FCD"/>
    <w:rsid w:val="00E57351"/>
    <w:rsid w:val="00E57432"/>
    <w:rsid w:val="00E577A4"/>
    <w:rsid w:val="00E57841"/>
    <w:rsid w:val="00E578C4"/>
    <w:rsid w:val="00E57A54"/>
    <w:rsid w:val="00E601C0"/>
    <w:rsid w:val="00E6171B"/>
    <w:rsid w:val="00E61BCB"/>
    <w:rsid w:val="00E61CE9"/>
    <w:rsid w:val="00E61E32"/>
    <w:rsid w:val="00E6207D"/>
    <w:rsid w:val="00E623C7"/>
    <w:rsid w:val="00E62B85"/>
    <w:rsid w:val="00E631FE"/>
    <w:rsid w:val="00E634FD"/>
    <w:rsid w:val="00E638DD"/>
    <w:rsid w:val="00E63C35"/>
    <w:rsid w:val="00E63E14"/>
    <w:rsid w:val="00E6433A"/>
    <w:rsid w:val="00E644CC"/>
    <w:rsid w:val="00E64867"/>
    <w:rsid w:val="00E6492C"/>
    <w:rsid w:val="00E64AF7"/>
    <w:rsid w:val="00E64C2C"/>
    <w:rsid w:val="00E65032"/>
    <w:rsid w:val="00E65037"/>
    <w:rsid w:val="00E65353"/>
    <w:rsid w:val="00E65879"/>
    <w:rsid w:val="00E6601C"/>
    <w:rsid w:val="00E6628F"/>
    <w:rsid w:val="00E66339"/>
    <w:rsid w:val="00E665AD"/>
    <w:rsid w:val="00E668F0"/>
    <w:rsid w:val="00E6694F"/>
    <w:rsid w:val="00E67219"/>
    <w:rsid w:val="00E67887"/>
    <w:rsid w:val="00E70280"/>
    <w:rsid w:val="00E703CB"/>
    <w:rsid w:val="00E7057F"/>
    <w:rsid w:val="00E70B91"/>
    <w:rsid w:val="00E70DA1"/>
    <w:rsid w:val="00E70DEE"/>
    <w:rsid w:val="00E70E1D"/>
    <w:rsid w:val="00E711AA"/>
    <w:rsid w:val="00E711D0"/>
    <w:rsid w:val="00E71547"/>
    <w:rsid w:val="00E7169F"/>
    <w:rsid w:val="00E71C4F"/>
    <w:rsid w:val="00E730DE"/>
    <w:rsid w:val="00E7343B"/>
    <w:rsid w:val="00E739F7"/>
    <w:rsid w:val="00E73A16"/>
    <w:rsid w:val="00E742EE"/>
    <w:rsid w:val="00E742FB"/>
    <w:rsid w:val="00E7455E"/>
    <w:rsid w:val="00E74EA8"/>
    <w:rsid w:val="00E750F3"/>
    <w:rsid w:val="00E7586D"/>
    <w:rsid w:val="00E76779"/>
    <w:rsid w:val="00E7685D"/>
    <w:rsid w:val="00E76F4A"/>
    <w:rsid w:val="00E77093"/>
    <w:rsid w:val="00E77209"/>
    <w:rsid w:val="00E77630"/>
    <w:rsid w:val="00E77986"/>
    <w:rsid w:val="00E77C0D"/>
    <w:rsid w:val="00E77C35"/>
    <w:rsid w:val="00E77F19"/>
    <w:rsid w:val="00E803AF"/>
    <w:rsid w:val="00E804E7"/>
    <w:rsid w:val="00E80888"/>
    <w:rsid w:val="00E80DCA"/>
    <w:rsid w:val="00E81103"/>
    <w:rsid w:val="00E81552"/>
    <w:rsid w:val="00E815A5"/>
    <w:rsid w:val="00E81938"/>
    <w:rsid w:val="00E821ED"/>
    <w:rsid w:val="00E825C3"/>
    <w:rsid w:val="00E8260A"/>
    <w:rsid w:val="00E831B7"/>
    <w:rsid w:val="00E83237"/>
    <w:rsid w:val="00E832AE"/>
    <w:rsid w:val="00E83797"/>
    <w:rsid w:val="00E8386B"/>
    <w:rsid w:val="00E839F3"/>
    <w:rsid w:val="00E83B93"/>
    <w:rsid w:val="00E83B9B"/>
    <w:rsid w:val="00E83C1D"/>
    <w:rsid w:val="00E83C69"/>
    <w:rsid w:val="00E83D8E"/>
    <w:rsid w:val="00E8416D"/>
    <w:rsid w:val="00E84832"/>
    <w:rsid w:val="00E84897"/>
    <w:rsid w:val="00E85502"/>
    <w:rsid w:val="00E8586C"/>
    <w:rsid w:val="00E85909"/>
    <w:rsid w:val="00E85F82"/>
    <w:rsid w:val="00E86255"/>
    <w:rsid w:val="00E868E9"/>
    <w:rsid w:val="00E86C56"/>
    <w:rsid w:val="00E8750B"/>
    <w:rsid w:val="00E87862"/>
    <w:rsid w:val="00E87ACC"/>
    <w:rsid w:val="00E87B43"/>
    <w:rsid w:val="00E87FAD"/>
    <w:rsid w:val="00E905F7"/>
    <w:rsid w:val="00E90F6D"/>
    <w:rsid w:val="00E91866"/>
    <w:rsid w:val="00E91C39"/>
    <w:rsid w:val="00E91CAC"/>
    <w:rsid w:val="00E91ED2"/>
    <w:rsid w:val="00E9266E"/>
    <w:rsid w:val="00E92B4F"/>
    <w:rsid w:val="00E92C4D"/>
    <w:rsid w:val="00E92E94"/>
    <w:rsid w:val="00E92F61"/>
    <w:rsid w:val="00E938F2"/>
    <w:rsid w:val="00E93BF3"/>
    <w:rsid w:val="00E93CB9"/>
    <w:rsid w:val="00E94606"/>
    <w:rsid w:val="00E9469D"/>
    <w:rsid w:val="00E94CAF"/>
    <w:rsid w:val="00E953C9"/>
    <w:rsid w:val="00E96037"/>
    <w:rsid w:val="00E9612E"/>
    <w:rsid w:val="00E9655B"/>
    <w:rsid w:val="00E965D3"/>
    <w:rsid w:val="00E966B3"/>
    <w:rsid w:val="00E967BD"/>
    <w:rsid w:val="00E96BC4"/>
    <w:rsid w:val="00E96F31"/>
    <w:rsid w:val="00E96FA8"/>
    <w:rsid w:val="00E977C4"/>
    <w:rsid w:val="00E978AE"/>
    <w:rsid w:val="00E97E46"/>
    <w:rsid w:val="00EA0685"/>
    <w:rsid w:val="00EA083C"/>
    <w:rsid w:val="00EA087A"/>
    <w:rsid w:val="00EA0895"/>
    <w:rsid w:val="00EA09EB"/>
    <w:rsid w:val="00EA0E97"/>
    <w:rsid w:val="00EA1053"/>
    <w:rsid w:val="00EA150A"/>
    <w:rsid w:val="00EA15CE"/>
    <w:rsid w:val="00EA1EF1"/>
    <w:rsid w:val="00EA1FD3"/>
    <w:rsid w:val="00EA213D"/>
    <w:rsid w:val="00EA23D3"/>
    <w:rsid w:val="00EA251A"/>
    <w:rsid w:val="00EA26DE"/>
    <w:rsid w:val="00EA2B7B"/>
    <w:rsid w:val="00EA2BF9"/>
    <w:rsid w:val="00EA2CCA"/>
    <w:rsid w:val="00EA34BA"/>
    <w:rsid w:val="00EA3806"/>
    <w:rsid w:val="00EA3DA4"/>
    <w:rsid w:val="00EA4053"/>
    <w:rsid w:val="00EA4095"/>
    <w:rsid w:val="00EA4818"/>
    <w:rsid w:val="00EA49FA"/>
    <w:rsid w:val="00EA4E9F"/>
    <w:rsid w:val="00EA4F44"/>
    <w:rsid w:val="00EA4F6A"/>
    <w:rsid w:val="00EA5528"/>
    <w:rsid w:val="00EA560A"/>
    <w:rsid w:val="00EA57B8"/>
    <w:rsid w:val="00EA60A5"/>
    <w:rsid w:val="00EA76A9"/>
    <w:rsid w:val="00EA7EE7"/>
    <w:rsid w:val="00EB0AD0"/>
    <w:rsid w:val="00EB0DC8"/>
    <w:rsid w:val="00EB1635"/>
    <w:rsid w:val="00EB18E2"/>
    <w:rsid w:val="00EB1B37"/>
    <w:rsid w:val="00EB1F2E"/>
    <w:rsid w:val="00EB24F1"/>
    <w:rsid w:val="00EB3129"/>
    <w:rsid w:val="00EB45B3"/>
    <w:rsid w:val="00EB4F2E"/>
    <w:rsid w:val="00EB51DE"/>
    <w:rsid w:val="00EB572B"/>
    <w:rsid w:val="00EB5D7C"/>
    <w:rsid w:val="00EB5DD3"/>
    <w:rsid w:val="00EB61F4"/>
    <w:rsid w:val="00EB6237"/>
    <w:rsid w:val="00EB6393"/>
    <w:rsid w:val="00EB6609"/>
    <w:rsid w:val="00EB6D11"/>
    <w:rsid w:val="00EB7076"/>
    <w:rsid w:val="00EB733E"/>
    <w:rsid w:val="00EB7EAA"/>
    <w:rsid w:val="00EC0584"/>
    <w:rsid w:val="00EC0BB0"/>
    <w:rsid w:val="00EC11C3"/>
    <w:rsid w:val="00EC1355"/>
    <w:rsid w:val="00EC1712"/>
    <w:rsid w:val="00EC1A1F"/>
    <w:rsid w:val="00EC1B6B"/>
    <w:rsid w:val="00EC1B86"/>
    <w:rsid w:val="00EC1CD2"/>
    <w:rsid w:val="00EC1CEE"/>
    <w:rsid w:val="00EC1D33"/>
    <w:rsid w:val="00EC1D3A"/>
    <w:rsid w:val="00EC1F69"/>
    <w:rsid w:val="00EC2392"/>
    <w:rsid w:val="00EC2971"/>
    <w:rsid w:val="00EC2EFA"/>
    <w:rsid w:val="00EC3007"/>
    <w:rsid w:val="00EC39CE"/>
    <w:rsid w:val="00EC3B04"/>
    <w:rsid w:val="00EC4415"/>
    <w:rsid w:val="00EC45A4"/>
    <w:rsid w:val="00EC4664"/>
    <w:rsid w:val="00EC4846"/>
    <w:rsid w:val="00EC4B76"/>
    <w:rsid w:val="00EC4B88"/>
    <w:rsid w:val="00EC5026"/>
    <w:rsid w:val="00EC5B18"/>
    <w:rsid w:val="00EC6147"/>
    <w:rsid w:val="00EC6316"/>
    <w:rsid w:val="00EC6F54"/>
    <w:rsid w:val="00EC7766"/>
    <w:rsid w:val="00EC79EE"/>
    <w:rsid w:val="00EC7AF8"/>
    <w:rsid w:val="00EC7BB9"/>
    <w:rsid w:val="00EC7D6A"/>
    <w:rsid w:val="00ED0104"/>
    <w:rsid w:val="00ED09F4"/>
    <w:rsid w:val="00ED0A40"/>
    <w:rsid w:val="00ED1576"/>
    <w:rsid w:val="00ED1A9A"/>
    <w:rsid w:val="00ED225F"/>
    <w:rsid w:val="00ED3703"/>
    <w:rsid w:val="00ED3BD7"/>
    <w:rsid w:val="00ED3E35"/>
    <w:rsid w:val="00ED4B9E"/>
    <w:rsid w:val="00ED4C49"/>
    <w:rsid w:val="00ED519F"/>
    <w:rsid w:val="00ED57F3"/>
    <w:rsid w:val="00ED5B9F"/>
    <w:rsid w:val="00ED5D06"/>
    <w:rsid w:val="00ED5D5C"/>
    <w:rsid w:val="00ED5DDD"/>
    <w:rsid w:val="00ED5F32"/>
    <w:rsid w:val="00ED5FEC"/>
    <w:rsid w:val="00ED6A1D"/>
    <w:rsid w:val="00ED6DCC"/>
    <w:rsid w:val="00ED7344"/>
    <w:rsid w:val="00ED7B06"/>
    <w:rsid w:val="00ED7BEB"/>
    <w:rsid w:val="00ED7CC8"/>
    <w:rsid w:val="00EE01C2"/>
    <w:rsid w:val="00EE0875"/>
    <w:rsid w:val="00EE0C03"/>
    <w:rsid w:val="00EE1360"/>
    <w:rsid w:val="00EE1495"/>
    <w:rsid w:val="00EE156A"/>
    <w:rsid w:val="00EE20A0"/>
    <w:rsid w:val="00EE2120"/>
    <w:rsid w:val="00EE2283"/>
    <w:rsid w:val="00EE23F2"/>
    <w:rsid w:val="00EE25FB"/>
    <w:rsid w:val="00EE267F"/>
    <w:rsid w:val="00EE27C6"/>
    <w:rsid w:val="00EE2833"/>
    <w:rsid w:val="00EE2CE7"/>
    <w:rsid w:val="00EE2DE7"/>
    <w:rsid w:val="00EE2EAB"/>
    <w:rsid w:val="00EE2F64"/>
    <w:rsid w:val="00EE322A"/>
    <w:rsid w:val="00EE3346"/>
    <w:rsid w:val="00EE39EE"/>
    <w:rsid w:val="00EE3CC3"/>
    <w:rsid w:val="00EE3F04"/>
    <w:rsid w:val="00EE4520"/>
    <w:rsid w:val="00EE4549"/>
    <w:rsid w:val="00EE46B7"/>
    <w:rsid w:val="00EE4933"/>
    <w:rsid w:val="00EE5207"/>
    <w:rsid w:val="00EE5A80"/>
    <w:rsid w:val="00EE5F0E"/>
    <w:rsid w:val="00EE6716"/>
    <w:rsid w:val="00EE7249"/>
    <w:rsid w:val="00EE74B6"/>
    <w:rsid w:val="00EF015C"/>
    <w:rsid w:val="00EF01A0"/>
    <w:rsid w:val="00EF0D4E"/>
    <w:rsid w:val="00EF112B"/>
    <w:rsid w:val="00EF1134"/>
    <w:rsid w:val="00EF1268"/>
    <w:rsid w:val="00EF135F"/>
    <w:rsid w:val="00EF19EB"/>
    <w:rsid w:val="00EF1BB0"/>
    <w:rsid w:val="00EF1C0B"/>
    <w:rsid w:val="00EF1E1D"/>
    <w:rsid w:val="00EF2927"/>
    <w:rsid w:val="00EF2E10"/>
    <w:rsid w:val="00EF3465"/>
    <w:rsid w:val="00EF3587"/>
    <w:rsid w:val="00EF35E0"/>
    <w:rsid w:val="00EF36A7"/>
    <w:rsid w:val="00EF3831"/>
    <w:rsid w:val="00EF3C1E"/>
    <w:rsid w:val="00EF3FAB"/>
    <w:rsid w:val="00EF408B"/>
    <w:rsid w:val="00EF42B0"/>
    <w:rsid w:val="00EF45AB"/>
    <w:rsid w:val="00EF48E3"/>
    <w:rsid w:val="00EF4951"/>
    <w:rsid w:val="00EF497D"/>
    <w:rsid w:val="00EF4C7C"/>
    <w:rsid w:val="00EF4EB1"/>
    <w:rsid w:val="00EF51B8"/>
    <w:rsid w:val="00EF555F"/>
    <w:rsid w:val="00EF59F7"/>
    <w:rsid w:val="00EF5E74"/>
    <w:rsid w:val="00EF5F66"/>
    <w:rsid w:val="00EF5F87"/>
    <w:rsid w:val="00EF68ED"/>
    <w:rsid w:val="00EF6C46"/>
    <w:rsid w:val="00EF6E47"/>
    <w:rsid w:val="00EF7262"/>
    <w:rsid w:val="00EF756F"/>
    <w:rsid w:val="00EF7C83"/>
    <w:rsid w:val="00EF7E64"/>
    <w:rsid w:val="00EF7FD2"/>
    <w:rsid w:val="00F000CE"/>
    <w:rsid w:val="00F00354"/>
    <w:rsid w:val="00F00AE2"/>
    <w:rsid w:val="00F00D2B"/>
    <w:rsid w:val="00F01C6F"/>
    <w:rsid w:val="00F01CD0"/>
    <w:rsid w:val="00F0214F"/>
    <w:rsid w:val="00F024A1"/>
    <w:rsid w:val="00F02B35"/>
    <w:rsid w:val="00F02CBD"/>
    <w:rsid w:val="00F033C9"/>
    <w:rsid w:val="00F03603"/>
    <w:rsid w:val="00F03694"/>
    <w:rsid w:val="00F03DE5"/>
    <w:rsid w:val="00F04325"/>
    <w:rsid w:val="00F0444E"/>
    <w:rsid w:val="00F045C5"/>
    <w:rsid w:val="00F05ABD"/>
    <w:rsid w:val="00F0659A"/>
    <w:rsid w:val="00F065C9"/>
    <w:rsid w:val="00F0679E"/>
    <w:rsid w:val="00F06EA9"/>
    <w:rsid w:val="00F070F3"/>
    <w:rsid w:val="00F072AF"/>
    <w:rsid w:val="00F072E1"/>
    <w:rsid w:val="00F0760D"/>
    <w:rsid w:val="00F07A84"/>
    <w:rsid w:val="00F07B81"/>
    <w:rsid w:val="00F105A4"/>
    <w:rsid w:val="00F115F5"/>
    <w:rsid w:val="00F117DA"/>
    <w:rsid w:val="00F11824"/>
    <w:rsid w:val="00F11F37"/>
    <w:rsid w:val="00F11F47"/>
    <w:rsid w:val="00F12300"/>
    <w:rsid w:val="00F136D7"/>
    <w:rsid w:val="00F13B99"/>
    <w:rsid w:val="00F13CCB"/>
    <w:rsid w:val="00F13DD6"/>
    <w:rsid w:val="00F14099"/>
    <w:rsid w:val="00F140D1"/>
    <w:rsid w:val="00F142B4"/>
    <w:rsid w:val="00F1431D"/>
    <w:rsid w:val="00F144F5"/>
    <w:rsid w:val="00F14C21"/>
    <w:rsid w:val="00F1520B"/>
    <w:rsid w:val="00F1553E"/>
    <w:rsid w:val="00F1584C"/>
    <w:rsid w:val="00F15DF8"/>
    <w:rsid w:val="00F162ED"/>
    <w:rsid w:val="00F16569"/>
    <w:rsid w:val="00F165A8"/>
    <w:rsid w:val="00F1660E"/>
    <w:rsid w:val="00F16987"/>
    <w:rsid w:val="00F169B4"/>
    <w:rsid w:val="00F16BC6"/>
    <w:rsid w:val="00F16E19"/>
    <w:rsid w:val="00F17172"/>
    <w:rsid w:val="00F1723B"/>
    <w:rsid w:val="00F17580"/>
    <w:rsid w:val="00F17CB9"/>
    <w:rsid w:val="00F205A3"/>
    <w:rsid w:val="00F20C8C"/>
    <w:rsid w:val="00F20CD6"/>
    <w:rsid w:val="00F20D42"/>
    <w:rsid w:val="00F20E4C"/>
    <w:rsid w:val="00F218AC"/>
    <w:rsid w:val="00F2196B"/>
    <w:rsid w:val="00F21DCC"/>
    <w:rsid w:val="00F221B9"/>
    <w:rsid w:val="00F229AA"/>
    <w:rsid w:val="00F22B53"/>
    <w:rsid w:val="00F232CC"/>
    <w:rsid w:val="00F232FF"/>
    <w:rsid w:val="00F23732"/>
    <w:rsid w:val="00F2393F"/>
    <w:rsid w:val="00F2395B"/>
    <w:rsid w:val="00F23A52"/>
    <w:rsid w:val="00F24BA2"/>
    <w:rsid w:val="00F24F48"/>
    <w:rsid w:val="00F24F72"/>
    <w:rsid w:val="00F26330"/>
    <w:rsid w:val="00F26B94"/>
    <w:rsid w:val="00F26DAB"/>
    <w:rsid w:val="00F270E4"/>
    <w:rsid w:val="00F27332"/>
    <w:rsid w:val="00F275E8"/>
    <w:rsid w:val="00F27820"/>
    <w:rsid w:val="00F27C5C"/>
    <w:rsid w:val="00F27E66"/>
    <w:rsid w:val="00F30394"/>
    <w:rsid w:val="00F30AF4"/>
    <w:rsid w:val="00F30C9A"/>
    <w:rsid w:val="00F30D0A"/>
    <w:rsid w:val="00F30E67"/>
    <w:rsid w:val="00F312A1"/>
    <w:rsid w:val="00F3152F"/>
    <w:rsid w:val="00F31776"/>
    <w:rsid w:val="00F31CEF"/>
    <w:rsid w:val="00F32355"/>
    <w:rsid w:val="00F3242B"/>
    <w:rsid w:val="00F32985"/>
    <w:rsid w:val="00F329E1"/>
    <w:rsid w:val="00F32C96"/>
    <w:rsid w:val="00F33082"/>
    <w:rsid w:val="00F3427D"/>
    <w:rsid w:val="00F34779"/>
    <w:rsid w:val="00F347A7"/>
    <w:rsid w:val="00F34EA5"/>
    <w:rsid w:val="00F35121"/>
    <w:rsid w:val="00F35B65"/>
    <w:rsid w:val="00F35E13"/>
    <w:rsid w:val="00F35F01"/>
    <w:rsid w:val="00F37018"/>
    <w:rsid w:val="00F3721C"/>
    <w:rsid w:val="00F372C3"/>
    <w:rsid w:val="00F37582"/>
    <w:rsid w:val="00F37632"/>
    <w:rsid w:val="00F378A4"/>
    <w:rsid w:val="00F37945"/>
    <w:rsid w:val="00F379A1"/>
    <w:rsid w:val="00F40633"/>
    <w:rsid w:val="00F40798"/>
    <w:rsid w:val="00F40951"/>
    <w:rsid w:val="00F40BAD"/>
    <w:rsid w:val="00F41166"/>
    <w:rsid w:val="00F41211"/>
    <w:rsid w:val="00F4149E"/>
    <w:rsid w:val="00F41514"/>
    <w:rsid w:val="00F41847"/>
    <w:rsid w:val="00F42014"/>
    <w:rsid w:val="00F42109"/>
    <w:rsid w:val="00F428FA"/>
    <w:rsid w:val="00F42BB0"/>
    <w:rsid w:val="00F42E83"/>
    <w:rsid w:val="00F4335B"/>
    <w:rsid w:val="00F43463"/>
    <w:rsid w:val="00F43A2D"/>
    <w:rsid w:val="00F443C7"/>
    <w:rsid w:val="00F4479C"/>
    <w:rsid w:val="00F44FD3"/>
    <w:rsid w:val="00F45259"/>
    <w:rsid w:val="00F45281"/>
    <w:rsid w:val="00F453E9"/>
    <w:rsid w:val="00F4553F"/>
    <w:rsid w:val="00F45671"/>
    <w:rsid w:val="00F457CF"/>
    <w:rsid w:val="00F45B78"/>
    <w:rsid w:val="00F467D8"/>
    <w:rsid w:val="00F46A1C"/>
    <w:rsid w:val="00F46A66"/>
    <w:rsid w:val="00F46A9B"/>
    <w:rsid w:val="00F46B57"/>
    <w:rsid w:val="00F46EF7"/>
    <w:rsid w:val="00F476C3"/>
    <w:rsid w:val="00F47786"/>
    <w:rsid w:val="00F47AFC"/>
    <w:rsid w:val="00F47B9E"/>
    <w:rsid w:val="00F50030"/>
    <w:rsid w:val="00F500BF"/>
    <w:rsid w:val="00F500CF"/>
    <w:rsid w:val="00F50192"/>
    <w:rsid w:val="00F506CF"/>
    <w:rsid w:val="00F50B5D"/>
    <w:rsid w:val="00F5129A"/>
    <w:rsid w:val="00F51368"/>
    <w:rsid w:val="00F51519"/>
    <w:rsid w:val="00F518BA"/>
    <w:rsid w:val="00F52475"/>
    <w:rsid w:val="00F52537"/>
    <w:rsid w:val="00F525AA"/>
    <w:rsid w:val="00F5299B"/>
    <w:rsid w:val="00F535A1"/>
    <w:rsid w:val="00F535EB"/>
    <w:rsid w:val="00F53A38"/>
    <w:rsid w:val="00F542B6"/>
    <w:rsid w:val="00F54552"/>
    <w:rsid w:val="00F545DA"/>
    <w:rsid w:val="00F549C5"/>
    <w:rsid w:val="00F54AE7"/>
    <w:rsid w:val="00F55457"/>
    <w:rsid w:val="00F554F2"/>
    <w:rsid w:val="00F55B0D"/>
    <w:rsid w:val="00F55E67"/>
    <w:rsid w:val="00F55FF7"/>
    <w:rsid w:val="00F5626A"/>
    <w:rsid w:val="00F5654C"/>
    <w:rsid w:val="00F5695A"/>
    <w:rsid w:val="00F56988"/>
    <w:rsid w:val="00F56BFF"/>
    <w:rsid w:val="00F56E63"/>
    <w:rsid w:val="00F5719D"/>
    <w:rsid w:val="00F57215"/>
    <w:rsid w:val="00F573DB"/>
    <w:rsid w:val="00F57C76"/>
    <w:rsid w:val="00F57C91"/>
    <w:rsid w:val="00F607DE"/>
    <w:rsid w:val="00F6083C"/>
    <w:rsid w:val="00F609A0"/>
    <w:rsid w:val="00F60C2A"/>
    <w:rsid w:val="00F61689"/>
    <w:rsid w:val="00F61F79"/>
    <w:rsid w:val="00F620A9"/>
    <w:rsid w:val="00F62228"/>
    <w:rsid w:val="00F62609"/>
    <w:rsid w:val="00F626DF"/>
    <w:rsid w:val="00F626E4"/>
    <w:rsid w:val="00F6287B"/>
    <w:rsid w:val="00F62942"/>
    <w:rsid w:val="00F629B7"/>
    <w:rsid w:val="00F630BE"/>
    <w:rsid w:val="00F63303"/>
    <w:rsid w:val="00F638F0"/>
    <w:rsid w:val="00F6399A"/>
    <w:rsid w:val="00F652FA"/>
    <w:rsid w:val="00F6535C"/>
    <w:rsid w:val="00F6583C"/>
    <w:rsid w:val="00F658F7"/>
    <w:rsid w:val="00F65AC8"/>
    <w:rsid w:val="00F668E2"/>
    <w:rsid w:val="00F66CEE"/>
    <w:rsid w:val="00F66D1A"/>
    <w:rsid w:val="00F66EB4"/>
    <w:rsid w:val="00F67776"/>
    <w:rsid w:val="00F700C9"/>
    <w:rsid w:val="00F706F0"/>
    <w:rsid w:val="00F70C9F"/>
    <w:rsid w:val="00F71037"/>
    <w:rsid w:val="00F712D7"/>
    <w:rsid w:val="00F71302"/>
    <w:rsid w:val="00F71A77"/>
    <w:rsid w:val="00F71FF2"/>
    <w:rsid w:val="00F72464"/>
    <w:rsid w:val="00F726E5"/>
    <w:rsid w:val="00F728D1"/>
    <w:rsid w:val="00F72904"/>
    <w:rsid w:val="00F7297A"/>
    <w:rsid w:val="00F73282"/>
    <w:rsid w:val="00F7344D"/>
    <w:rsid w:val="00F7354F"/>
    <w:rsid w:val="00F739FC"/>
    <w:rsid w:val="00F73AA0"/>
    <w:rsid w:val="00F73E48"/>
    <w:rsid w:val="00F7484C"/>
    <w:rsid w:val="00F749D0"/>
    <w:rsid w:val="00F74F3B"/>
    <w:rsid w:val="00F7580D"/>
    <w:rsid w:val="00F75946"/>
    <w:rsid w:val="00F75F82"/>
    <w:rsid w:val="00F760AB"/>
    <w:rsid w:val="00F7645B"/>
    <w:rsid w:val="00F76AA3"/>
    <w:rsid w:val="00F76B4C"/>
    <w:rsid w:val="00F76BE3"/>
    <w:rsid w:val="00F76CC4"/>
    <w:rsid w:val="00F76EC2"/>
    <w:rsid w:val="00F77276"/>
    <w:rsid w:val="00F77555"/>
    <w:rsid w:val="00F77B64"/>
    <w:rsid w:val="00F77BA1"/>
    <w:rsid w:val="00F77F88"/>
    <w:rsid w:val="00F80477"/>
    <w:rsid w:val="00F805D9"/>
    <w:rsid w:val="00F80DA8"/>
    <w:rsid w:val="00F810F7"/>
    <w:rsid w:val="00F811A8"/>
    <w:rsid w:val="00F81269"/>
    <w:rsid w:val="00F815B2"/>
    <w:rsid w:val="00F8189C"/>
    <w:rsid w:val="00F819EC"/>
    <w:rsid w:val="00F81CF9"/>
    <w:rsid w:val="00F81FF3"/>
    <w:rsid w:val="00F831E8"/>
    <w:rsid w:val="00F833C6"/>
    <w:rsid w:val="00F83594"/>
    <w:rsid w:val="00F83D05"/>
    <w:rsid w:val="00F83D43"/>
    <w:rsid w:val="00F841FB"/>
    <w:rsid w:val="00F84548"/>
    <w:rsid w:val="00F84AC3"/>
    <w:rsid w:val="00F84F50"/>
    <w:rsid w:val="00F8533A"/>
    <w:rsid w:val="00F85D91"/>
    <w:rsid w:val="00F85DBA"/>
    <w:rsid w:val="00F86A50"/>
    <w:rsid w:val="00F86A6C"/>
    <w:rsid w:val="00F86E64"/>
    <w:rsid w:val="00F871AB"/>
    <w:rsid w:val="00F875AE"/>
    <w:rsid w:val="00F875EF"/>
    <w:rsid w:val="00F87F93"/>
    <w:rsid w:val="00F900B5"/>
    <w:rsid w:val="00F90647"/>
    <w:rsid w:val="00F90C13"/>
    <w:rsid w:val="00F90D1B"/>
    <w:rsid w:val="00F91158"/>
    <w:rsid w:val="00F9120E"/>
    <w:rsid w:val="00F913FC"/>
    <w:rsid w:val="00F917BC"/>
    <w:rsid w:val="00F9191F"/>
    <w:rsid w:val="00F91F81"/>
    <w:rsid w:val="00F92072"/>
    <w:rsid w:val="00F9236D"/>
    <w:rsid w:val="00F9242D"/>
    <w:rsid w:val="00F92607"/>
    <w:rsid w:val="00F92622"/>
    <w:rsid w:val="00F9285B"/>
    <w:rsid w:val="00F92A2F"/>
    <w:rsid w:val="00F92AEB"/>
    <w:rsid w:val="00F9301C"/>
    <w:rsid w:val="00F93AE7"/>
    <w:rsid w:val="00F93B62"/>
    <w:rsid w:val="00F93C3F"/>
    <w:rsid w:val="00F940E6"/>
    <w:rsid w:val="00F94152"/>
    <w:rsid w:val="00F943AF"/>
    <w:rsid w:val="00F945C2"/>
    <w:rsid w:val="00F94A61"/>
    <w:rsid w:val="00F94CC7"/>
    <w:rsid w:val="00F94F23"/>
    <w:rsid w:val="00F96183"/>
    <w:rsid w:val="00F96398"/>
    <w:rsid w:val="00F96B52"/>
    <w:rsid w:val="00F96DA3"/>
    <w:rsid w:val="00F96F65"/>
    <w:rsid w:val="00F9756D"/>
    <w:rsid w:val="00F97FC0"/>
    <w:rsid w:val="00FA02B3"/>
    <w:rsid w:val="00FA0744"/>
    <w:rsid w:val="00FA0C6B"/>
    <w:rsid w:val="00FA0F2B"/>
    <w:rsid w:val="00FA0FFE"/>
    <w:rsid w:val="00FA107A"/>
    <w:rsid w:val="00FA1356"/>
    <w:rsid w:val="00FA136E"/>
    <w:rsid w:val="00FA1ADC"/>
    <w:rsid w:val="00FA2BAD"/>
    <w:rsid w:val="00FA2ED7"/>
    <w:rsid w:val="00FA32A2"/>
    <w:rsid w:val="00FA45F7"/>
    <w:rsid w:val="00FA4802"/>
    <w:rsid w:val="00FA49A2"/>
    <w:rsid w:val="00FA50D3"/>
    <w:rsid w:val="00FA548C"/>
    <w:rsid w:val="00FA5DE3"/>
    <w:rsid w:val="00FA5FE1"/>
    <w:rsid w:val="00FA60D7"/>
    <w:rsid w:val="00FA624D"/>
    <w:rsid w:val="00FA63FA"/>
    <w:rsid w:val="00FA65B6"/>
    <w:rsid w:val="00FA6B30"/>
    <w:rsid w:val="00FA7170"/>
    <w:rsid w:val="00FA722F"/>
    <w:rsid w:val="00FA72C7"/>
    <w:rsid w:val="00FA7390"/>
    <w:rsid w:val="00FA7987"/>
    <w:rsid w:val="00FA7C33"/>
    <w:rsid w:val="00FB0012"/>
    <w:rsid w:val="00FB11F5"/>
    <w:rsid w:val="00FB1742"/>
    <w:rsid w:val="00FB233D"/>
    <w:rsid w:val="00FB29EE"/>
    <w:rsid w:val="00FB2C54"/>
    <w:rsid w:val="00FB3209"/>
    <w:rsid w:val="00FB359B"/>
    <w:rsid w:val="00FB3A08"/>
    <w:rsid w:val="00FB3ACB"/>
    <w:rsid w:val="00FB3B41"/>
    <w:rsid w:val="00FB3C33"/>
    <w:rsid w:val="00FB3C7A"/>
    <w:rsid w:val="00FB43C9"/>
    <w:rsid w:val="00FB4DDB"/>
    <w:rsid w:val="00FB5214"/>
    <w:rsid w:val="00FB5322"/>
    <w:rsid w:val="00FB5EDA"/>
    <w:rsid w:val="00FB642A"/>
    <w:rsid w:val="00FB6E99"/>
    <w:rsid w:val="00FB74AB"/>
    <w:rsid w:val="00FC0543"/>
    <w:rsid w:val="00FC05DA"/>
    <w:rsid w:val="00FC0A7E"/>
    <w:rsid w:val="00FC0D21"/>
    <w:rsid w:val="00FC108B"/>
    <w:rsid w:val="00FC12EB"/>
    <w:rsid w:val="00FC137C"/>
    <w:rsid w:val="00FC1839"/>
    <w:rsid w:val="00FC1CA9"/>
    <w:rsid w:val="00FC214A"/>
    <w:rsid w:val="00FC2590"/>
    <w:rsid w:val="00FC2845"/>
    <w:rsid w:val="00FC2C71"/>
    <w:rsid w:val="00FC2D54"/>
    <w:rsid w:val="00FC3370"/>
    <w:rsid w:val="00FC37AE"/>
    <w:rsid w:val="00FC43B6"/>
    <w:rsid w:val="00FC46BF"/>
    <w:rsid w:val="00FC48B5"/>
    <w:rsid w:val="00FC53AF"/>
    <w:rsid w:val="00FC54E3"/>
    <w:rsid w:val="00FC5A27"/>
    <w:rsid w:val="00FC5FAE"/>
    <w:rsid w:val="00FC630E"/>
    <w:rsid w:val="00FC6495"/>
    <w:rsid w:val="00FC66FB"/>
    <w:rsid w:val="00FC7202"/>
    <w:rsid w:val="00FC7861"/>
    <w:rsid w:val="00FC78AB"/>
    <w:rsid w:val="00FC7D11"/>
    <w:rsid w:val="00FD0254"/>
    <w:rsid w:val="00FD041F"/>
    <w:rsid w:val="00FD0722"/>
    <w:rsid w:val="00FD0B4B"/>
    <w:rsid w:val="00FD0E99"/>
    <w:rsid w:val="00FD11A2"/>
    <w:rsid w:val="00FD19B5"/>
    <w:rsid w:val="00FD19EE"/>
    <w:rsid w:val="00FD1FF1"/>
    <w:rsid w:val="00FD2C97"/>
    <w:rsid w:val="00FD2CC1"/>
    <w:rsid w:val="00FD2ED5"/>
    <w:rsid w:val="00FD2F2D"/>
    <w:rsid w:val="00FD2F6E"/>
    <w:rsid w:val="00FD3547"/>
    <w:rsid w:val="00FD362F"/>
    <w:rsid w:val="00FD3642"/>
    <w:rsid w:val="00FD36A2"/>
    <w:rsid w:val="00FD416E"/>
    <w:rsid w:val="00FD48B2"/>
    <w:rsid w:val="00FD4F01"/>
    <w:rsid w:val="00FD529E"/>
    <w:rsid w:val="00FD52EA"/>
    <w:rsid w:val="00FD56EA"/>
    <w:rsid w:val="00FD58C4"/>
    <w:rsid w:val="00FD5DC8"/>
    <w:rsid w:val="00FD60F4"/>
    <w:rsid w:val="00FD61E1"/>
    <w:rsid w:val="00FD645B"/>
    <w:rsid w:val="00FD645C"/>
    <w:rsid w:val="00FD64CF"/>
    <w:rsid w:val="00FD6D57"/>
    <w:rsid w:val="00FD6EDA"/>
    <w:rsid w:val="00FD710B"/>
    <w:rsid w:val="00FD73D4"/>
    <w:rsid w:val="00FD7CA4"/>
    <w:rsid w:val="00FE0866"/>
    <w:rsid w:val="00FE0B35"/>
    <w:rsid w:val="00FE128B"/>
    <w:rsid w:val="00FE165F"/>
    <w:rsid w:val="00FE1905"/>
    <w:rsid w:val="00FE19A2"/>
    <w:rsid w:val="00FE231C"/>
    <w:rsid w:val="00FE338D"/>
    <w:rsid w:val="00FE36DC"/>
    <w:rsid w:val="00FE3E6D"/>
    <w:rsid w:val="00FE479B"/>
    <w:rsid w:val="00FE4B15"/>
    <w:rsid w:val="00FE4BFE"/>
    <w:rsid w:val="00FE4DD8"/>
    <w:rsid w:val="00FE4E0E"/>
    <w:rsid w:val="00FE4FCD"/>
    <w:rsid w:val="00FE5159"/>
    <w:rsid w:val="00FE52BD"/>
    <w:rsid w:val="00FE5386"/>
    <w:rsid w:val="00FE5461"/>
    <w:rsid w:val="00FE550B"/>
    <w:rsid w:val="00FE58FF"/>
    <w:rsid w:val="00FE5B42"/>
    <w:rsid w:val="00FE5C63"/>
    <w:rsid w:val="00FE5FEA"/>
    <w:rsid w:val="00FE6720"/>
    <w:rsid w:val="00FE6F44"/>
    <w:rsid w:val="00FE7071"/>
    <w:rsid w:val="00FE79A8"/>
    <w:rsid w:val="00FE7D53"/>
    <w:rsid w:val="00FF056D"/>
    <w:rsid w:val="00FF05C5"/>
    <w:rsid w:val="00FF09AF"/>
    <w:rsid w:val="00FF0CCF"/>
    <w:rsid w:val="00FF118C"/>
    <w:rsid w:val="00FF120D"/>
    <w:rsid w:val="00FF19BE"/>
    <w:rsid w:val="00FF1A5D"/>
    <w:rsid w:val="00FF1F19"/>
    <w:rsid w:val="00FF23D1"/>
    <w:rsid w:val="00FF23D2"/>
    <w:rsid w:val="00FF2583"/>
    <w:rsid w:val="00FF2607"/>
    <w:rsid w:val="00FF2939"/>
    <w:rsid w:val="00FF2E73"/>
    <w:rsid w:val="00FF30C2"/>
    <w:rsid w:val="00FF346B"/>
    <w:rsid w:val="00FF3553"/>
    <w:rsid w:val="00FF3826"/>
    <w:rsid w:val="00FF3893"/>
    <w:rsid w:val="00FF3C07"/>
    <w:rsid w:val="00FF3D82"/>
    <w:rsid w:val="00FF3E60"/>
    <w:rsid w:val="00FF3FBC"/>
    <w:rsid w:val="00FF4816"/>
    <w:rsid w:val="00FF4A01"/>
    <w:rsid w:val="00FF4C31"/>
    <w:rsid w:val="00FF4CC8"/>
    <w:rsid w:val="00FF4D55"/>
    <w:rsid w:val="00FF5043"/>
    <w:rsid w:val="00FF5400"/>
    <w:rsid w:val="00FF5F64"/>
    <w:rsid w:val="00FF6479"/>
    <w:rsid w:val="00FF69B9"/>
    <w:rsid w:val="00FF6B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E37B8A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1CA0"/>
  </w:style>
  <w:style w:type="paragraph" w:styleId="Heading1">
    <w:name w:val="heading 1"/>
    <w:basedOn w:val="Normal"/>
    <w:next w:val="Normal"/>
    <w:link w:val="Heading1Char"/>
    <w:uiPriority w:val="9"/>
    <w:qFormat/>
    <w:rsid w:val="009617C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D156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52DB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1CA0"/>
    <w:rPr>
      <w:color w:val="0563C1" w:themeColor="hyperlink"/>
      <w:u w:val="single"/>
    </w:rPr>
  </w:style>
  <w:style w:type="paragraph" w:styleId="FootnoteText">
    <w:name w:val="footnote text"/>
    <w:basedOn w:val="Normal"/>
    <w:link w:val="FootnoteTextChar"/>
    <w:uiPriority w:val="98"/>
    <w:unhideWhenUsed/>
    <w:rsid w:val="00B61CA0"/>
    <w:pPr>
      <w:spacing w:after="0" w:line="240" w:lineRule="auto"/>
    </w:pPr>
    <w:rPr>
      <w:sz w:val="20"/>
      <w:szCs w:val="20"/>
    </w:rPr>
  </w:style>
  <w:style w:type="character" w:customStyle="1" w:styleId="FootnoteTextChar">
    <w:name w:val="Footnote Text Char"/>
    <w:basedOn w:val="DefaultParagraphFont"/>
    <w:link w:val="FootnoteText"/>
    <w:uiPriority w:val="98"/>
    <w:rsid w:val="00B61CA0"/>
    <w:rPr>
      <w:sz w:val="20"/>
      <w:szCs w:val="20"/>
    </w:rPr>
  </w:style>
  <w:style w:type="character" w:styleId="FootnoteReference">
    <w:name w:val="footnote reference"/>
    <w:basedOn w:val="DefaultParagraphFont"/>
    <w:uiPriority w:val="99"/>
    <w:semiHidden/>
    <w:unhideWhenUsed/>
    <w:rsid w:val="00B61CA0"/>
    <w:rPr>
      <w:vertAlign w:val="superscript"/>
    </w:rPr>
  </w:style>
  <w:style w:type="table" w:styleId="TableGrid">
    <w:name w:val="Table Grid"/>
    <w:basedOn w:val="TableNormal"/>
    <w:uiPriority w:val="39"/>
    <w:rsid w:val="00302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B1663"/>
    <w:pPr>
      <w:ind w:left="720"/>
      <w:contextualSpacing/>
    </w:pPr>
  </w:style>
  <w:style w:type="paragraph" w:styleId="Header">
    <w:name w:val="header"/>
    <w:basedOn w:val="Normal"/>
    <w:link w:val="HeaderChar"/>
    <w:uiPriority w:val="99"/>
    <w:unhideWhenUsed/>
    <w:rsid w:val="00D533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3368"/>
  </w:style>
  <w:style w:type="paragraph" w:styleId="Footer">
    <w:name w:val="footer"/>
    <w:basedOn w:val="Normal"/>
    <w:link w:val="FooterChar"/>
    <w:uiPriority w:val="99"/>
    <w:unhideWhenUsed/>
    <w:rsid w:val="00D533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3368"/>
  </w:style>
  <w:style w:type="character" w:customStyle="1" w:styleId="UnresolvedMention1">
    <w:name w:val="Unresolved Mention1"/>
    <w:basedOn w:val="DefaultParagraphFont"/>
    <w:uiPriority w:val="99"/>
    <w:semiHidden/>
    <w:unhideWhenUsed/>
    <w:rsid w:val="00A84E9F"/>
    <w:rPr>
      <w:color w:val="605E5C"/>
      <w:shd w:val="clear" w:color="auto" w:fill="E1DFDD"/>
    </w:rPr>
  </w:style>
  <w:style w:type="character" w:styleId="FollowedHyperlink">
    <w:name w:val="FollowedHyperlink"/>
    <w:basedOn w:val="DefaultParagraphFont"/>
    <w:uiPriority w:val="99"/>
    <w:semiHidden/>
    <w:unhideWhenUsed/>
    <w:rsid w:val="00A84E9F"/>
    <w:rPr>
      <w:color w:val="954F72" w:themeColor="followedHyperlink"/>
      <w:u w:val="single"/>
    </w:rPr>
  </w:style>
  <w:style w:type="paragraph" w:styleId="EndnoteText">
    <w:name w:val="endnote text"/>
    <w:basedOn w:val="Normal"/>
    <w:link w:val="EndnoteTextChar"/>
    <w:uiPriority w:val="99"/>
    <w:semiHidden/>
    <w:unhideWhenUsed/>
    <w:rsid w:val="002F1DB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F1DBA"/>
    <w:rPr>
      <w:sz w:val="20"/>
      <w:szCs w:val="20"/>
    </w:rPr>
  </w:style>
  <w:style w:type="character" w:styleId="EndnoteReference">
    <w:name w:val="endnote reference"/>
    <w:basedOn w:val="DefaultParagraphFont"/>
    <w:uiPriority w:val="99"/>
    <w:semiHidden/>
    <w:unhideWhenUsed/>
    <w:rsid w:val="002F1DBA"/>
    <w:rPr>
      <w:vertAlign w:val="superscript"/>
    </w:rPr>
  </w:style>
  <w:style w:type="paragraph" w:styleId="BalloonText">
    <w:name w:val="Balloon Text"/>
    <w:basedOn w:val="Normal"/>
    <w:link w:val="BalloonTextChar"/>
    <w:uiPriority w:val="99"/>
    <w:semiHidden/>
    <w:unhideWhenUsed/>
    <w:rsid w:val="00DA52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523D"/>
    <w:rPr>
      <w:rFonts w:ascii="Segoe UI" w:hAnsi="Segoe UI" w:cs="Segoe UI"/>
      <w:sz w:val="18"/>
      <w:szCs w:val="18"/>
    </w:rPr>
  </w:style>
  <w:style w:type="table" w:customStyle="1" w:styleId="TableGrid1">
    <w:name w:val="Table Grid1"/>
    <w:basedOn w:val="TableNormal"/>
    <w:next w:val="TableGrid"/>
    <w:uiPriority w:val="39"/>
    <w:rsid w:val="00CF4D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667ED"/>
    <w:rPr>
      <w:sz w:val="16"/>
      <w:szCs w:val="16"/>
    </w:rPr>
  </w:style>
  <w:style w:type="paragraph" w:styleId="CommentText">
    <w:name w:val="annotation text"/>
    <w:basedOn w:val="Normal"/>
    <w:link w:val="CommentTextChar"/>
    <w:uiPriority w:val="99"/>
    <w:semiHidden/>
    <w:unhideWhenUsed/>
    <w:rsid w:val="003667ED"/>
    <w:pPr>
      <w:spacing w:line="240" w:lineRule="auto"/>
    </w:pPr>
    <w:rPr>
      <w:sz w:val="20"/>
      <w:szCs w:val="20"/>
    </w:rPr>
  </w:style>
  <w:style w:type="character" w:customStyle="1" w:styleId="CommentTextChar">
    <w:name w:val="Comment Text Char"/>
    <w:basedOn w:val="DefaultParagraphFont"/>
    <w:link w:val="CommentText"/>
    <w:uiPriority w:val="99"/>
    <w:semiHidden/>
    <w:rsid w:val="003667ED"/>
    <w:rPr>
      <w:sz w:val="20"/>
      <w:szCs w:val="20"/>
    </w:rPr>
  </w:style>
  <w:style w:type="paragraph" w:styleId="CommentSubject">
    <w:name w:val="annotation subject"/>
    <w:basedOn w:val="CommentText"/>
    <w:next w:val="CommentText"/>
    <w:link w:val="CommentSubjectChar"/>
    <w:uiPriority w:val="99"/>
    <w:semiHidden/>
    <w:unhideWhenUsed/>
    <w:rsid w:val="003667ED"/>
    <w:rPr>
      <w:b/>
      <w:bCs/>
    </w:rPr>
  </w:style>
  <w:style w:type="character" w:customStyle="1" w:styleId="CommentSubjectChar">
    <w:name w:val="Comment Subject Char"/>
    <w:basedOn w:val="CommentTextChar"/>
    <w:link w:val="CommentSubject"/>
    <w:uiPriority w:val="99"/>
    <w:semiHidden/>
    <w:rsid w:val="003667ED"/>
    <w:rPr>
      <w:b/>
      <w:bCs/>
      <w:sz w:val="20"/>
      <w:szCs w:val="20"/>
    </w:rPr>
  </w:style>
  <w:style w:type="paragraph" w:styleId="Revision">
    <w:name w:val="Revision"/>
    <w:hidden/>
    <w:uiPriority w:val="99"/>
    <w:semiHidden/>
    <w:rsid w:val="004701E3"/>
    <w:pPr>
      <w:spacing w:after="0" w:line="240" w:lineRule="auto"/>
    </w:pPr>
  </w:style>
  <w:style w:type="character" w:styleId="UnresolvedMention">
    <w:name w:val="Unresolved Mention"/>
    <w:basedOn w:val="DefaultParagraphFont"/>
    <w:uiPriority w:val="99"/>
    <w:semiHidden/>
    <w:unhideWhenUsed/>
    <w:rsid w:val="00161BBC"/>
    <w:rPr>
      <w:color w:val="605E5C"/>
      <w:shd w:val="clear" w:color="auto" w:fill="E1DFDD"/>
    </w:rPr>
  </w:style>
  <w:style w:type="character" w:customStyle="1" w:styleId="Heading1Char">
    <w:name w:val="Heading 1 Char"/>
    <w:basedOn w:val="DefaultParagraphFont"/>
    <w:link w:val="Heading1"/>
    <w:uiPriority w:val="9"/>
    <w:rsid w:val="009617C1"/>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912A91"/>
    <w:pPr>
      <w:tabs>
        <w:tab w:val="right" w:leader="dot" w:pos="9350"/>
      </w:tabs>
      <w:spacing w:after="0" w:line="240" w:lineRule="auto"/>
      <w:jc w:val="center"/>
    </w:pPr>
    <w:rPr>
      <w:rFonts w:ascii="Times New Roman" w:hAnsi="Times New Roman" w:cs="Times New Roman"/>
      <w:b/>
      <w:noProof/>
    </w:rPr>
  </w:style>
  <w:style w:type="character" w:customStyle="1" w:styleId="Heading2Char">
    <w:name w:val="Heading 2 Char"/>
    <w:basedOn w:val="DefaultParagraphFont"/>
    <w:link w:val="Heading2"/>
    <w:uiPriority w:val="9"/>
    <w:rsid w:val="006D156E"/>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A15468"/>
    <w:pPr>
      <w:spacing w:after="100"/>
      <w:ind w:left="220"/>
    </w:pPr>
  </w:style>
  <w:style w:type="character" w:customStyle="1" w:styleId="Heading3Char">
    <w:name w:val="Heading 3 Char"/>
    <w:basedOn w:val="DefaultParagraphFont"/>
    <w:link w:val="Heading3"/>
    <w:uiPriority w:val="9"/>
    <w:rsid w:val="00B52DBE"/>
    <w:rPr>
      <w:rFonts w:asciiTheme="majorHAnsi" w:eastAsiaTheme="majorEastAsia" w:hAnsiTheme="majorHAnsi" w:cstheme="majorBidi"/>
      <w:color w:val="1F3763" w:themeColor="accent1" w:themeShade="7F"/>
      <w:sz w:val="24"/>
      <w:szCs w:val="24"/>
    </w:rPr>
  </w:style>
  <w:style w:type="paragraph" w:styleId="TOC3">
    <w:name w:val="toc 3"/>
    <w:basedOn w:val="Normal"/>
    <w:next w:val="Normal"/>
    <w:autoRedefine/>
    <w:uiPriority w:val="39"/>
    <w:unhideWhenUsed/>
    <w:rsid w:val="00F913FC"/>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4868644">
      <w:bodyDiv w:val="1"/>
      <w:marLeft w:val="0"/>
      <w:marRight w:val="0"/>
      <w:marTop w:val="0"/>
      <w:marBottom w:val="0"/>
      <w:divBdr>
        <w:top w:val="none" w:sz="0" w:space="0" w:color="auto"/>
        <w:left w:val="none" w:sz="0" w:space="0" w:color="auto"/>
        <w:bottom w:val="none" w:sz="0" w:space="0" w:color="auto"/>
        <w:right w:val="none" w:sz="0" w:space="0" w:color="auto"/>
      </w:divBdr>
      <w:divsChild>
        <w:div w:id="1788814684">
          <w:marLeft w:val="0"/>
          <w:marRight w:val="0"/>
          <w:marTop w:val="0"/>
          <w:marBottom w:val="0"/>
          <w:divBdr>
            <w:top w:val="none" w:sz="0" w:space="0" w:color="auto"/>
            <w:left w:val="none" w:sz="0" w:space="0" w:color="auto"/>
            <w:bottom w:val="none" w:sz="0" w:space="0" w:color="auto"/>
            <w:right w:val="none" w:sz="0" w:space="0" w:color="auto"/>
          </w:divBdr>
        </w:div>
        <w:div w:id="1328434412">
          <w:marLeft w:val="0"/>
          <w:marRight w:val="0"/>
          <w:marTop w:val="0"/>
          <w:marBottom w:val="0"/>
          <w:divBdr>
            <w:top w:val="none" w:sz="0" w:space="0" w:color="auto"/>
            <w:left w:val="none" w:sz="0" w:space="0" w:color="auto"/>
            <w:bottom w:val="none" w:sz="0" w:space="0" w:color="auto"/>
            <w:right w:val="none" w:sz="0" w:space="0" w:color="auto"/>
          </w:divBdr>
        </w:div>
        <w:div w:id="357967828">
          <w:marLeft w:val="0"/>
          <w:marRight w:val="0"/>
          <w:marTop w:val="0"/>
          <w:marBottom w:val="0"/>
          <w:divBdr>
            <w:top w:val="none" w:sz="0" w:space="0" w:color="auto"/>
            <w:left w:val="none" w:sz="0" w:space="0" w:color="auto"/>
            <w:bottom w:val="none" w:sz="0" w:space="0" w:color="auto"/>
            <w:right w:val="none" w:sz="0" w:space="0" w:color="auto"/>
          </w:divBdr>
        </w:div>
        <w:div w:id="2084405041">
          <w:marLeft w:val="0"/>
          <w:marRight w:val="0"/>
          <w:marTop w:val="0"/>
          <w:marBottom w:val="0"/>
          <w:divBdr>
            <w:top w:val="none" w:sz="0" w:space="0" w:color="auto"/>
            <w:left w:val="none" w:sz="0" w:space="0" w:color="auto"/>
            <w:bottom w:val="none" w:sz="0" w:space="0" w:color="auto"/>
            <w:right w:val="none" w:sz="0" w:space="0" w:color="auto"/>
          </w:divBdr>
        </w:div>
        <w:div w:id="786432216">
          <w:marLeft w:val="0"/>
          <w:marRight w:val="0"/>
          <w:marTop w:val="0"/>
          <w:marBottom w:val="0"/>
          <w:divBdr>
            <w:top w:val="none" w:sz="0" w:space="0" w:color="auto"/>
            <w:left w:val="none" w:sz="0" w:space="0" w:color="auto"/>
            <w:bottom w:val="none" w:sz="0" w:space="0" w:color="auto"/>
            <w:right w:val="none" w:sz="0" w:space="0" w:color="auto"/>
          </w:divBdr>
        </w:div>
        <w:div w:id="1728919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erve-casualty-corp.com/" TargetMode="External"/><Relationship Id="rId13" Type="http://schemas.openxmlformats.org/officeDocument/2006/relationships/hyperlink" Target="https://www.capstoneassociated.com/press/perspective-on-reserve-mechanical-corp-v-commissioner-internal-revenu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eserve-casualty-corp.com/pdf/2018-8-17_Mtn_for_Reconsideration_Denied.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serve-casualty-corp.com/pdf/Reserve-Motion-for-Reconsideration.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reserve-casualty-corp.com/pdf/IRS-Memo-on-Avrahami.pdf" TargetMode="External"/><Relationship Id="rId4" Type="http://schemas.openxmlformats.org/officeDocument/2006/relationships/settings" Target="settings.xml"/><Relationship Id="rId9" Type="http://schemas.openxmlformats.org/officeDocument/2006/relationships/hyperlink" Target="https://www.reserve-casualty-corp.com/pdf/Reserve-Memo-on-Avrahami.pdf" TargetMode="External"/><Relationship Id="rId14" Type="http://schemas.openxmlformats.org/officeDocument/2006/relationships/image" Target="media/image1.png"/></Relationships>
</file>

<file path=word/_rels/endnotes.xml.rels><?xml version="1.0" encoding="UTF-8" standalone="yes"?>
<Relationships xmlns="http://schemas.openxmlformats.org/package/2006/relationships"><Relationship Id="rId3" Type="http://schemas.openxmlformats.org/officeDocument/2006/relationships/hyperlink" Target="S://marketing/book%20project_coby/Pooling%20arrangements%20-%20articles/Rating%20Reinsurance%20Pools%20-%20AM%20Best%20Article%20-%20October%2013,%202017.pdf" TargetMode="External"/><Relationship Id="rId2" Type="http://schemas.openxmlformats.org/officeDocument/2006/relationships/hyperlink" Target="https://www.thebalancesmb.com/insurance-services-office-iso-462706" TargetMode="External"/><Relationship Id="rId1" Type="http://schemas.openxmlformats.org/officeDocument/2006/relationships/hyperlink" Target="https://www.reserve-casualty-corp.com/pdf/Reserve-Motion-for-Reconsideration.pdf" TargetMode="External"/><Relationship Id="rId6" Type="http://schemas.openxmlformats.org/officeDocument/2006/relationships/hyperlink" Target="http://conference.cajpa.org/wp-content/uploads/2017/09/9.13-Pools-and-the-Reinsurance-Market.pdf" TargetMode="External"/><Relationship Id="rId5" Type="http://schemas.openxmlformats.org/officeDocument/2006/relationships/hyperlink" Target="http://captiveinsurance.cc/articles/reserve-mechanical-judge-kerrigan-limited-knowledge-commentary.html" TargetMode="External"/><Relationship Id="rId4" Type="http://schemas.openxmlformats.org/officeDocument/2006/relationships/hyperlink" Target="S://marketing/book%20project_coby/Pooling%20arrangements%20-%20articles/Rating%20Reinsurance%20Pools%20-%20AM%20Best%20Article%20-%20October%2013,%20201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61C76D-C96A-4BC8-B26B-DE3DA38DF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61</Pages>
  <Words>17849</Words>
  <Characters>101741</Characters>
  <Application>Microsoft Office Word</Application>
  <DocSecurity>4</DocSecurity>
  <Lines>847</Lines>
  <Paragraphs>238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2019-01-04T22:46:00Z</dcterms:created>
  <dcterms:modified xsi:type="dcterms:W3CDTF">2019-01-04T22:46:00Z</dcterms:modified>
</cp:coreProperties>
</file>